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681" w:rsidRDefault="00C44076">
      <w:pPr>
        <w:spacing w:before="80"/>
        <w:ind w:left="641" w:right="598"/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4"/>
        </w:rPr>
        <w:t>SCHEDA PER LA VALUTAZIONE DEI TITOLI FINALIZZATA ALLA COMPILAZIONE</w:t>
      </w:r>
      <w:r>
        <w:rPr>
          <w:rFonts w:ascii="Times New Roman" w:hAnsi="Times New Roman"/>
          <w:b/>
          <w:spacing w:val="-58"/>
          <w:sz w:val="24"/>
        </w:rPr>
        <w:t xml:space="preserve"> </w:t>
      </w:r>
      <w:r>
        <w:rPr>
          <w:rFonts w:ascii="Times New Roman" w:hAnsi="Times New Roman"/>
          <w:b/>
          <w:sz w:val="20"/>
        </w:rPr>
        <w:t>DELLA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GRADUATORIA</w:t>
      </w:r>
      <w:r>
        <w:rPr>
          <w:rFonts w:ascii="Times New Roman" w:hAnsi="Times New Roman"/>
          <w:b/>
          <w:spacing w:val="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ISTITUTO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L’INDIVIDUAZIONE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DEI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SOPRANNUMERARI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PERSONALE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ATA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 w:rsidR="00AA75A7">
        <w:rPr>
          <w:rFonts w:ascii="Times New Roman" w:hAnsi="Times New Roman"/>
          <w:b/>
          <w:spacing w:val="1"/>
          <w:sz w:val="20"/>
        </w:rPr>
        <w:t xml:space="preserve">PER </w:t>
      </w:r>
      <w:r>
        <w:rPr>
          <w:rFonts w:ascii="Times New Roman" w:hAnsi="Times New Roman"/>
          <w:b/>
          <w:sz w:val="20"/>
        </w:rPr>
        <w:t>A.S. 202</w:t>
      </w:r>
      <w:r w:rsidR="00AA75A7">
        <w:rPr>
          <w:rFonts w:ascii="Times New Roman" w:hAnsi="Times New Roman"/>
          <w:b/>
          <w:sz w:val="20"/>
        </w:rPr>
        <w:t>4</w:t>
      </w:r>
      <w:r>
        <w:rPr>
          <w:rFonts w:ascii="Times New Roman" w:hAnsi="Times New Roman"/>
          <w:b/>
          <w:sz w:val="20"/>
        </w:rPr>
        <w:t>/202</w:t>
      </w:r>
      <w:r w:rsidR="00AA75A7">
        <w:rPr>
          <w:rFonts w:ascii="Times New Roman" w:hAnsi="Times New Roman"/>
          <w:b/>
          <w:sz w:val="20"/>
        </w:rPr>
        <w:t>5</w:t>
      </w:r>
    </w:p>
    <w:p w:rsidR="00870681" w:rsidRDefault="00870681">
      <w:pPr>
        <w:pStyle w:val="Corpotesto"/>
        <w:ind w:left="0"/>
        <w:jc w:val="left"/>
        <w:rPr>
          <w:rFonts w:ascii="Times New Roman"/>
          <w:b/>
          <w:sz w:val="22"/>
        </w:rPr>
      </w:pPr>
    </w:p>
    <w:p w:rsidR="00870681" w:rsidRDefault="00870681">
      <w:pPr>
        <w:pStyle w:val="Corpotesto"/>
        <w:spacing w:before="6"/>
        <w:ind w:left="0"/>
        <w:jc w:val="left"/>
        <w:rPr>
          <w:rFonts w:ascii="Times New Roman"/>
          <w:b/>
          <w:sz w:val="17"/>
        </w:rPr>
      </w:pPr>
    </w:p>
    <w:p w:rsidR="00870681" w:rsidRPr="00AD27B6" w:rsidRDefault="00C44076">
      <w:pPr>
        <w:ind w:right="162"/>
        <w:jc w:val="right"/>
        <w:rPr>
          <w:rFonts w:ascii="Times New Roman"/>
        </w:rPr>
      </w:pPr>
      <w:r w:rsidRPr="00AD27B6">
        <w:rPr>
          <w:rFonts w:ascii="Times New Roman"/>
        </w:rPr>
        <w:t>AL</w:t>
      </w:r>
      <w:r w:rsidRPr="00AD27B6">
        <w:rPr>
          <w:rFonts w:ascii="Times New Roman"/>
          <w:spacing w:val="-9"/>
        </w:rPr>
        <w:t xml:space="preserve"> </w:t>
      </w:r>
      <w:r w:rsidRPr="00AD27B6">
        <w:rPr>
          <w:rFonts w:ascii="Times New Roman"/>
        </w:rPr>
        <w:t>DIRIGENTE</w:t>
      </w:r>
      <w:r w:rsidRPr="00AD27B6">
        <w:rPr>
          <w:rFonts w:ascii="Times New Roman"/>
          <w:spacing w:val="-5"/>
        </w:rPr>
        <w:t xml:space="preserve"> </w:t>
      </w:r>
      <w:r w:rsidRPr="00AD27B6">
        <w:rPr>
          <w:rFonts w:ascii="Times New Roman"/>
        </w:rPr>
        <w:t>SCOLASTICO</w:t>
      </w:r>
    </w:p>
    <w:p w:rsidR="00AD27B6" w:rsidRPr="00AD27B6" w:rsidRDefault="00AD27B6" w:rsidP="00AD27B6">
      <w:pPr>
        <w:ind w:left="8287" w:right="162" w:hanging="1057"/>
        <w:jc w:val="right"/>
        <w:rPr>
          <w:rFonts w:ascii="Times New Roman"/>
          <w:spacing w:val="-1"/>
        </w:rPr>
      </w:pPr>
      <w:r w:rsidRPr="00AD27B6">
        <w:rPr>
          <w:rFonts w:ascii="Times New Roman"/>
          <w:spacing w:val="-1"/>
        </w:rPr>
        <w:t>I.C. BOSCARINO-CASTIGLIONE</w:t>
      </w:r>
    </w:p>
    <w:p w:rsidR="00870681" w:rsidRPr="00AD27B6" w:rsidRDefault="00C44076" w:rsidP="00AD27B6">
      <w:pPr>
        <w:ind w:left="7088" w:right="162" w:firstLine="732"/>
        <w:jc w:val="right"/>
        <w:rPr>
          <w:rFonts w:ascii="Times New Roman"/>
        </w:rPr>
      </w:pPr>
      <w:r w:rsidRPr="00AD27B6">
        <w:rPr>
          <w:rFonts w:ascii="Times New Roman"/>
          <w:spacing w:val="-57"/>
        </w:rPr>
        <w:t xml:space="preserve"> </w:t>
      </w:r>
      <w:r w:rsidRPr="00AD27B6">
        <w:rPr>
          <w:rFonts w:ascii="Times New Roman"/>
          <w:spacing w:val="-2"/>
        </w:rPr>
        <w:t>MAZARA</w:t>
      </w:r>
      <w:r w:rsidRPr="00AD27B6">
        <w:rPr>
          <w:rFonts w:ascii="Times New Roman"/>
          <w:spacing w:val="-10"/>
        </w:rPr>
        <w:t xml:space="preserve"> </w:t>
      </w:r>
      <w:r w:rsidRPr="00AD27B6">
        <w:rPr>
          <w:rFonts w:ascii="Times New Roman"/>
          <w:spacing w:val="-1"/>
        </w:rPr>
        <w:t>DEL</w:t>
      </w:r>
      <w:r w:rsidRPr="00AD27B6">
        <w:rPr>
          <w:rFonts w:ascii="Times New Roman"/>
          <w:spacing w:val="-13"/>
        </w:rPr>
        <w:t xml:space="preserve"> </w:t>
      </w:r>
      <w:r w:rsidRPr="00AD27B6">
        <w:rPr>
          <w:rFonts w:ascii="Times New Roman"/>
          <w:spacing w:val="-1"/>
        </w:rPr>
        <w:t>VALLO</w:t>
      </w:r>
    </w:p>
    <w:p w:rsidR="00870681" w:rsidRDefault="00870681">
      <w:pPr>
        <w:pStyle w:val="Corpotesto"/>
        <w:spacing w:before="7"/>
        <w:ind w:left="0"/>
        <w:jc w:val="left"/>
        <w:rPr>
          <w:rFonts w:ascii="Times New Roman"/>
          <w:sz w:val="26"/>
        </w:rPr>
      </w:pPr>
    </w:p>
    <w:p w:rsidR="00870681" w:rsidRDefault="00C44076">
      <w:pPr>
        <w:tabs>
          <w:tab w:val="left" w:pos="6602"/>
          <w:tab w:val="left" w:pos="9927"/>
        </w:tabs>
        <w:ind w:left="212"/>
        <w:jc w:val="both"/>
        <w:rPr>
          <w:rFonts w:ascii="Times New Roman"/>
          <w:sz w:val="20"/>
        </w:rPr>
      </w:pPr>
      <w:r>
        <w:rPr>
          <w:rFonts w:ascii="Times New Roman"/>
          <w:sz w:val="20"/>
        </w:rPr>
        <w:t>_l_</w:t>
      </w:r>
      <w:r>
        <w:rPr>
          <w:rFonts w:ascii="Times New Roman"/>
          <w:spacing w:val="-1"/>
          <w:sz w:val="20"/>
        </w:rPr>
        <w:t xml:space="preserve"> </w:t>
      </w:r>
      <w:proofErr w:type="spellStart"/>
      <w:r>
        <w:rPr>
          <w:rFonts w:ascii="Times New Roman"/>
          <w:sz w:val="20"/>
        </w:rPr>
        <w:t>sottoscritt</w:t>
      </w:r>
      <w:proofErr w:type="spellEnd"/>
      <w:r>
        <w:rPr>
          <w:rFonts w:ascii="Times New Roman"/>
          <w:sz w:val="20"/>
        </w:rPr>
        <w:t>_</w:t>
      </w:r>
      <w:r>
        <w:rPr>
          <w:rFonts w:ascii="Times New Roman"/>
          <w:sz w:val="20"/>
          <w:u w:val="single"/>
        </w:rPr>
        <w:tab/>
      </w:r>
      <w:proofErr w:type="spellStart"/>
      <w:r>
        <w:rPr>
          <w:rFonts w:ascii="Times New Roman"/>
          <w:sz w:val="20"/>
        </w:rPr>
        <w:t>nat</w:t>
      </w:r>
      <w:proofErr w:type="spellEnd"/>
      <w:r>
        <w:rPr>
          <w:rFonts w:ascii="Times New Roman"/>
          <w:sz w:val="20"/>
        </w:rPr>
        <w:t>_ a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70681" w:rsidRDefault="00C44076">
      <w:pPr>
        <w:tabs>
          <w:tab w:val="left" w:pos="3531"/>
          <w:tab w:val="left" w:pos="5129"/>
          <w:tab w:val="left" w:pos="6028"/>
          <w:tab w:val="left" w:pos="10214"/>
          <w:tab w:val="left" w:pos="10379"/>
        </w:tabs>
        <w:spacing w:before="178" w:line="360" w:lineRule="auto"/>
        <w:ind w:left="212" w:right="484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provincia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di</w:t>
      </w:r>
      <w:r>
        <w:rPr>
          <w:rFonts w:ascii="Times New Roman" w:hAnsi="Times New Roman"/>
          <w:sz w:val="20"/>
          <w:u w:val="single"/>
        </w:rPr>
        <w:t xml:space="preserve">        </w:t>
      </w:r>
      <w:r>
        <w:rPr>
          <w:rFonts w:ascii="Times New Roman" w:hAnsi="Times New Roman"/>
          <w:spacing w:val="41"/>
          <w:sz w:val="20"/>
          <w:u w:val="single"/>
        </w:rPr>
        <w:t xml:space="preserve"> </w:t>
      </w:r>
      <w:r>
        <w:rPr>
          <w:rFonts w:ascii="Times New Roman" w:hAnsi="Times New Roman"/>
          <w:sz w:val="20"/>
        </w:rPr>
        <w:t>il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residente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_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titolare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preso</w:t>
      </w:r>
      <w:r>
        <w:rPr>
          <w:rFonts w:ascii="Times New Roman" w:hAnsi="Times New Roman"/>
          <w:spacing w:val="-2"/>
          <w:sz w:val="20"/>
        </w:rPr>
        <w:t xml:space="preserve"> </w:t>
      </w:r>
      <w:r>
        <w:rPr>
          <w:rFonts w:ascii="Times New Roman" w:hAnsi="Times New Roman"/>
          <w:sz w:val="20"/>
        </w:rPr>
        <w:t>codesto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Istituto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dall’anno</w:t>
      </w:r>
      <w:r>
        <w:rPr>
          <w:rFonts w:ascii="Times New Roman" w:hAnsi="Times New Roman"/>
          <w:spacing w:val="-1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profilo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  <w:u w:val="single"/>
        </w:rPr>
        <w:tab/>
      </w:r>
    </w:p>
    <w:p w:rsidR="00870681" w:rsidRDefault="00C44076">
      <w:pPr>
        <w:tabs>
          <w:tab w:val="left" w:pos="4418"/>
          <w:tab w:val="left" w:pos="5416"/>
          <w:tab w:val="left" w:pos="10746"/>
        </w:tabs>
        <w:spacing w:before="1" w:line="360" w:lineRule="auto"/>
        <w:ind w:left="212" w:right="117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sz w:val="20"/>
        </w:rPr>
        <w:t>immesso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Times New Roman" w:hAnsi="Times New Roman"/>
          <w:sz w:val="20"/>
        </w:rPr>
        <w:t>ruolo</w:t>
      </w:r>
      <w:r>
        <w:rPr>
          <w:rFonts w:ascii="Times New Roman" w:hAnsi="Times New Roman"/>
          <w:spacing w:val="65"/>
          <w:sz w:val="20"/>
        </w:rPr>
        <w:t xml:space="preserve"> </w:t>
      </w:r>
      <w:r>
        <w:rPr>
          <w:rFonts w:ascii="Times New Roman" w:hAnsi="Times New Roman"/>
          <w:sz w:val="20"/>
        </w:rPr>
        <w:t>nell’anno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scolastico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/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>con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effettiva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assunzione</w:t>
      </w:r>
      <w:r>
        <w:rPr>
          <w:rFonts w:ascii="Times New Roman" w:hAnsi="Times New Roman"/>
          <w:spacing w:val="7"/>
          <w:sz w:val="20"/>
        </w:rPr>
        <w:t xml:space="preserve"> </w:t>
      </w:r>
      <w:r>
        <w:rPr>
          <w:rFonts w:ascii="Times New Roman" w:hAnsi="Times New Roman"/>
          <w:sz w:val="20"/>
        </w:rPr>
        <w:t>in</w:t>
      </w:r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Times New Roman" w:hAnsi="Times New Roman"/>
          <w:sz w:val="20"/>
        </w:rPr>
        <w:t>servizio</w:t>
      </w:r>
      <w:r>
        <w:rPr>
          <w:rFonts w:ascii="Times New Roman" w:hAnsi="Times New Roman"/>
          <w:spacing w:val="8"/>
          <w:sz w:val="20"/>
        </w:rPr>
        <w:t xml:space="preserve"> </w:t>
      </w:r>
      <w:r>
        <w:rPr>
          <w:rFonts w:ascii="Times New Roman" w:hAnsi="Times New Roman"/>
          <w:sz w:val="20"/>
        </w:rPr>
        <w:t>dal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  <w:r>
        <w:rPr>
          <w:rFonts w:ascii="Times New Roman" w:hAnsi="Times New Roman"/>
          <w:sz w:val="20"/>
        </w:rPr>
        <w:t xml:space="preserve"> ai fini della compilazione della graduatoria di Istituto prevista dall’art.48 del CCNI ,consapevole delle responsabilità civili e penali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 xml:space="preserve">cui va incontro in caso di dichiarazione non corrispondente al vero, ai sensi del </w:t>
      </w:r>
      <w:r>
        <w:rPr>
          <w:rFonts w:ascii="Times New Roman" w:hAnsi="Times New Roman"/>
          <w:b/>
          <w:sz w:val="20"/>
        </w:rPr>
        <w:t xml:space="preserve">D.P.R. 28.12.2000, n. 445 </w:t>
      </w:r>
      <w:r>
        <w:rPr>
          <w:rFonts w:ascii="Times New Roman" w:hAnsi="Times New Roman"/>
          <w:sz w:val="20"/>
        </w:rPr>
        <w:t>(Testo unico delle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disposizioni legislative e regolamentari in materia di documentazione amministrativa)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z w:val="20"/>
        </w:rPr>
        <w:t>e successive modifiche ed integrazioni,</w:t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dichiara di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aver diritto</w:t>
      </w:r>
      <w:r>
        <w:rPr>
          <w:rFonts w:ascii="Times New Roman" w:hAnsi="Times New Roman"/>
          <w:b/>
          <w:spacing w:val="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al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seguente punteggio:</w:t>
      </w:r>
    </w:p>
    <w:p w:rsidR="00870681" w:rsidRDefault="00870681">
      <w:pPr>
        <w:pStyle w:val="Corpotesto"/>
        <w:spacing w:before="4"/>
        <w:ind w:left="0"/>
        <w:jc w:val="left"/>
        <w:rPr>
          <w:rFonts w:ascii="Times New Roman"/>
          <w:b/>
          <w:sz w:val="24"/>
        </w:rPr>
      </w:pPr>
    </w:p>
    <w:p w:rsidR="00870681" w:rsidRDefault="00C44076">
      <w:pPr>
        <w:pStyle w:val="Paragrafoelenco"/>
        <w:numPr>
          <w:ilvl w:val="0"/>
          <w:numId w:val="5"/>
        </w:numPr>
        <w:tabs>
          <w:tab w:val="left" w:pos="390"/>
        </w:tabs>
        <w:spacing w:after="3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ANZIANITÀ</w:t>
      </w:r>
      <w:r>
        <w:rPr>
          <w:rFonts w:ascii="Times New Roman" w:hAnsi="Times New Roman"/>
          <w:b/>
          <w:spacing w:val="-2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DI</w:t>
      </w:r>
      <w:r>
        <w:rPr>
          <w:rFonts w:ascii="Times New Roman" w:hAnsi="Times New Roman"/>
          <w:b/>
          <w:spacing w:val="-3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SERVIZIO</w:t>
      </w:r>
      <w:r>
        <w:rPr>
          <w:rFonts w:ascii="Times New Roman" w:hAnsi="Times New Roman"/>
          <w:b/>
          <w:spacing w:val="-1"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>(F):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70681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0681" w:rsidRDefault="00C44076">
            <w:pPr>
              <w:pStyle w:val="TableParagraph"/>
              <w:spacing w:line="208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70681">
        <w:trPr>
          <w:trHeight w:val="64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before="108" w:line="207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</w:p>
          <w:p w:rsidR="00870681" w:rsidRDefault="00C44076">
            <w:pPr>
              <w:pStyle w:val="TableParagraph"/>
              <w:tabs>
                <w:tab w:val="left" w:leader="dot" w:pos="6164"/>
                <w:tab w:val="left" w:pos="8739"/>
              </w:tabs>
              <w:spacing w:line="207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z w:val="18"/>
              </w:rPr>
              <w:t xml:space="preserve"> ogni</w:t>
            </w:r>
            <w:r>
              <w:rPr>
                <w:b/>
                <w:spacing w:val="-4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proofErr w:type="gramEnd"/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81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13" w:rsidRDefault="00CE3213" w:rsidP="00CE3213">
            <w:pPr>
              <w:widowControl/>
              <w:adjustRightInd w:val="0"/>
              <w:ind w:left="149" w:right="211"/>
              <w:jc w:val="both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A1) per ogni mese o frazione superiore a 15 giorni di servizio effettivamente prestato successivamente</w:t>
            </w:r>
          </w:p>
          <w:p w:rsidR="00870681" w:rsidRDefault="00CE3213" w:rsidP="00CE3213">
            <w:pPr>
              <w:widowControl/>
              <w:adjustRightInd w:val="0"/>
              <w:ind w:left="149" w:right="211"/>
              <w:jc w:val="both"/>
              <w:rPr>
                <w:b/>
                <w:sz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alla decorrenza giuridica della nomina nel profilo professionale di appartenenza (2)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in scuole o istituti situati nelle piccole isole in aggiunta al punteggio di cui al punto A) - (a) (per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i trasferimenti a domanda è da computarsi fino alla data di scadenza del termine di presentazione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della domanda) ……………………………………….</w:t>
            </w:r>
            <w:r>
              <w:rPr>
                <w:b/>
                <w:sz w:val="18"/>
              </w:rPr>
              <w:t xml:space="preserve"> </w:t>
            </w:r>
            <w:r w:rsidR="00C44076">
              <w:rPr>
                <w:b/>
                <w:sz w:val="18"/>
              </w:rPr>
              <w:t>(punti</w:t>
            </w:r>
            <w:r w:rsidR="00C44076">
              <w:rPr>
                <w:b/>
                <w:spacing w:val="-3"/>
                <w:sz w:val="18"/>
              </w:rPr>
              <w:t xml:space="preserve"> </w:t>
            </w:r>
            <w:r w:rsidR="00C44076">
              <w:rPr>
                <w:b/>
                <w:sz w:val="18"/>
              </w:rPr>
              <w:t>2</w:t>
            </w:r>
            <w:r w:rsidR="00C44076">
              <w:rPr>
                <w:b/>
                <w:spacing w:val="-4"/>
                <w:sz w:val="18"/>
              </w:rPr>
              <w:t xml:space="preserve"> </w:t>
            </w:r>
            <w:proofErr w:type="spellStart"/>
            <w:r w:rsidR="00C44076">
              <w:rPr>
                <w:b/>
                <w:sz w:val="18"/>
              </w:rPr>
              <w:t>x</w:t>
            </w:r>
            <w:proofErr w:type="spellEnd"/>
            <w:r w:rsidR="00C44076">
              <w:rPr>
                <w:b/>
                <w:sz w:val="18"/>
              </w:rPr>
              <w:t xml:space="preserve"> ogni</w:t>
            </w:r>
            <w:r w:rsidR="00C44076">
              <w:rPr>
                <w:b/>
                <w:spacing w:val="-5"/>
                <w:sz w:val="18"/>
              </w:rPr>
              <w:t xml:space="preserve"> </w:t>
            </w:r>
            <w:proofErr w:type="gramStart"/>
            <w:r w:rsidR="00C44076">
              <w:rPr>
                <w:b/>
                <w:sz w:val="18"/>
              </w:rPr>
              <w:t>mese)</w:t>
            </w:r>
            <w:r w:rsidR="00C44076">
              <w:rPr>
                <w:sz w:val="18"/>
              </w:rPr>
              <w:t>…</w:t>
            </w:r>
            <w:proofErr w:type="gramEnd"/>
            <w:r w:rsidR="00C44076">
              <w:rPr>
                <w:b/>
                <w:sz w:val="18"/>
              </w:rPr>
              <w:t xml:space="preserve">mesi </w:t>
            </w:r>
            <w:r w:rsidR="00C44076">
              <w:rPr>
                <w:b/>
                <w:sz w:val="18"/>
                <w:u w:val="single"/>
              </w:rPr>
              <w:t xml:space="preserve"> </w:t>
            </w:r>
            <w:r w:rsidR="00C44076"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390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13" w:rsidRDefault="00C44076" w:rsidP="00CE3213">
            <w:pPr>
              <w:pStyle w:val="TableParagraph"/>
              <w:tabs>
                <w:tab w:val="left" w:leader="dot" w:pos="7844"/>
                <w:tab w:val="left" w:pos="8638"/>
              </w:tabs>
              <w:ind w:left="69" w:right="110"/>
              <w:rPr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riconosciuto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..............................................................................…</w:t>
            </w:r>
            <w:r w:rsidR="00CE3213"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 w:rsidR="00CE3213">
              <w:rPr>
                <w:b/>
                <w:sz w:val="18"/>
              </w:rPr>
              <w:t>2 trasferimenti a domanda</w:t>
            </w:r>
            <w:r>
              <w:rPr>
                <w:sz w:val="18"/>
              </w:rPr>
              <w:t>)</w:t>
            </w:r>
          </w:p>
          <w:p w:rsidR="00870681" w:rsidRDefault="00C44076" w:rsidP="00CE3213">
            <w:pPr>
              <w:pStyle w:val="TableParagraph"/>
              <w:tabs>
                <w:tab w:val="left" w:leader="dot" w:pos="7844"/>
                <w:tab w:val="left" w:pos="8638"/>
              </w:tabs>
              <w:ind w:left="69" w:right="110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</w:t>
            </w:r>
            <w:r w:rsidR="00CE3213">
              <w:rPr>
                <w:sz w:val="18"/>
              </w:rPr>
              <w:t>.....</w:t>
            </w:r>
            <w:r>
              <w:rPr>
                <w:sz w:val="18"/>
              </w:rPr>
              <w:t>...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</w:t>
            </w:r>
            <w:r w:rsidR="00CE3213">
              <w:rPr>
                <w:b/>
                <w:spacing w:val="-6"/>
                <w:sz w:val="18"/>
              </w:rPr>
              <w:t>trasferimenti d’ufficio)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571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213" w:rsidRDefault="00C44076" w:rsidP="00CE3213">
            <w:pPr>
              <w:pStyle w:val="TableParagraph"/>
              <w:tabs>
                <w:tab w:val="left" w:leader="dot" w:pos="7844"/>
                <w:tab w:val="left" w:pos="8638"/>
              </w:tabs>
              <w:ind w:left="69" w:right="110"/>
              <w:rPr>
                <w:sz w:val="18"/>
              </w:rPr>
            </w:pPr>
            <w:r>
              <w:rPr>
                <w:b/>
                <w:sz w:val="18"/>
              </w:rPr>
              <w:t xml:space="preserve">B1) 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4"/>
                <w:sz w:val="18"/>
              </w:rPr>
              <w:t xml:space="preserve"> </w:t>
            </w:r>
            <w:r w:rsidR="00CE3213">
              <w:rPr>
                <w:sz w:val="18"/>
              </w:rPr>
              <w:t>(3)</w:t>
            </w:r>
            <w:r w:rsidR="00CE3213">
              <w:rPr>
                <w:spacing w:val="-4"/>
                <w:sz w:val="18"/>
              </w:rPr>
              <w:t xml:space="preserve"> </w:t>
            </w:r>
            <w:r w:rsidR="00CE3213">
              <w:rPr>
                <w:sz w:val="18"/>
              </w:rPr>
              <w:t>(11)</w:t>
            </w:r>
            <w:r w:rsidR="00CE3213">
              <w:rPr>
                <w:spacing w:val="-3"/>
                <w:sz w:val="18"/>
              </w:rPr>
              <w:t xml:space="preserve"> </w:t>
            </w:r>
            <w:r w:rsidR="00CE3213">
              <w:rPr>
                <w:sz w:val="18"/>
              </w:rPr>
              <w:t>(a)</w:t>
            </w:r>
            <w:r w:rsidR="00CE3213">
              <w:rPr>
                <w:spacing w:val="-3"/>
                <w:sz w:val="18"/>
              </w:rPr>
              <w:t xml:space="preserve"> </w:t>
            </w:r>
            <w:r w:rsidR="00CE3213">
              <w:rPr>
                <w:sz w:val="18"/>
              </w:rPr>
              <w:t xml:space="preserve">..............................................................................… </w:t>
            </w:r>
            <w:r w:rsidR="00CE3213">
              <w:rPr>
                <w:b/>
                <w:sz w:val="18"/>
              </w:rPr>
              <w:t>(punti</w:t>
            </w:r>
            <w:r w:rsidR="00CE3213">
              <w:rPr>
                <w:b/>
                <w:spacing w:val="-3"/>
                <w:sz w:val="18"/>
              </w:rPr>
              <w:t xml:space="preserve"> </w:t>
            </w:r>
            <w:r w:rsidR="00CE3213">
              <w:rPr>
                <w:b/>
                <w:sz w:val="18"/>
              </w:rPr>
              <w:t>2 trasferimenti a domanda</w:t>
            </w:r>
            <w:r w:rsidR="00CE3213">
              <w:rPr>
                <w:sz w:val="18"/>
              </w:rPr>
              <w:t>)</w:t>
            </w:r>
          </w:p>
          <w:p w:rsidR="00870681" w:rsidRDefault="00CE3213" w:rsidP="00CE3213">
            <w:pPr>
              <w:pStyle w:val="TableParagraph"/>
              <w:tabs>
                <w:tab w:val="left" w:leader="dot" w:pos="7935"/>
                <w:tab w:val="left" w:pos="8729"/>
              </w:tabs>
              <w:spacing w:before="20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</w:t>
            </w:r>
            <w:r w:rsidR="00BA4CC1">
              <w:rPr>
                <w:sz w:val="18"/>
              </w:rPr>
              <w:t>.....</w:t>
            </w:r>
            <w:r>
              <w:rPr>
                <w:sz w:val="18"/>
              </w:rPr>
              <w:t>..</w:t>
            </w:r>
            <w:r>
              <w:rPr>
                <w:spacing w:val="10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6"/>
                <w:sz w:val="18"/>
              </w:rPr>
              <w:t xml:space="preserve"> trasferimenti d’ufficio)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321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50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6176"/>
                <w:tab w:val="left" w:pos="8739"/>
              </w:tabs>
              <w:ind w:left="69" w:right="106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 xml:space="preserve">) per ogni anno </w:t>
            </w:r>
            <w:r>
              <w:rPr>
                <w:sz w:val="18"/>
              </w:rPr>
              <w:t>o frazione superiore ai 6 mesi di servizio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 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(b)</w:t>
            </w:r>
            <w:r w:rsidR="002C12CD">
              <w:rPr>
                <w:sz w:val="18"/>
              </w:rPr>
              <w:t xml:space="preserve"> (g) (h)</w:t>
            </w:r>
            <w:r>
              <w:rPr>
                <w:sz w:val="18"/>
              </w:rPr>
              <w:t>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 w:rsidR="002C12CD">
              <w:rPr>
                <w:b/>
                <w:spacing w:val="-3"/>
                <w:sz w:val="18"/>
              </w:rPr>
              <w:t>)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</w:tr>
      <w:tr w:rsidR="00870681">
        <w:trPr>
          <w:trHeight w:val="645"/>
        </w:trPr>
        <w:tc>
          <w:tcPr>
            <w:tcW w:w="8863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12CD" w:rsidRDefault="002C12CD" w:rsidP="002C12CD">
            <w:pPr>
              <w:widowControl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D) per ogni anno intero di servizio prestato nel profilo di appartenenza senza soluzione di</w:t>
            </w:r>
          </w:p>
          <w:p w:rsidR="002C12CD" w:rsidRDefault="002C12CD" w:rsidP="002C12CD">
            <w:pPr>
              <w:widowControl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continuità per almeno un triennio nella scuola di attuale titolarità (4) (11) (in aggiunta a quello</w:t>
            </w:r>
          </w:p>
          <w:p w:rsidR="002C12CD" w:rsidRDefault="002C12CD" w:rsidP="002C12CD">
            <w:pPr>
              <w:widowControl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previsto dalle lettere A) e B) (c) (d)</w:t>
            </w:r>
          </w:p>
          <w:p w:rsidR="002C12CD" w:rsidRDefault="002C12CD" w:rsidP="002C12CD">
            <w:pPr>
              <w:widowControl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entro il quinquennio………………………………………………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</w:rPr>
              <w:t>…….</w:t>
            </w:r>
            <w:proofErr w:type="gramEnd"/>
            <w:r>
              <w:rPr>
                <w:rFonts w:ascii="Tahoma" w:eastAsiaTheme="minorHAnsi" w:hAnsi="Tahoma" w:cs="Tahoma"/>
                <w:sz w:val="18"/>
                <w:szCs w:val="18"/>
              </w:rPr>
              <w:t>……</w:t>
            </w:r>
            <w:r>
              <w:rPr>
                <w:b/>
                <w:sz w:val="18"/>
              </w:rPr>
              <w:t>( 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_______</w:t>
            </w:r>
          </w:p>
          <w:p w:rsidR="00870681" w:rsidRPr="002C12CD" w:rsidRDefault="002C12CD" w:rsidP="002C12CD">
            <w:pPr>
              <w:widowControl/>
              <w:adjustRightInd w:val="0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oltre il quinquennio………………………………………………………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</w:rPr>
              <w:t>…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(</w:t>
            </w:r>
            <w:proofErr w:type="gramEnd"/>
            <w:r w:rsidR="00C44076">
              <w:rPr>
                <w:b/>
                <w:sz w:val="18"/>
              </w:rPr>
              <w:t>punti</w:t>
            </w:r>
            <w:r w:rsidR="00C44076">
              <w:rPr>
                <w:b/>
                <w:spacing w:val="-1"/>
                <w:sz w:val="18"/>
              </w:rPr>
              <w:t xml:space="preserve"> </w:t>
            </w:r>
            <w:r w:rsidR="00C44076">
              <w:rPr>
                <w:b/>
                <w:sz w:val="18"/>
              </w:rPr>
              <w:t>12</w:t>
            </w:r>
            <w:r w:rsidR="00C44076">
              <w:rPr>
                <w:b/>
                <w:spacing w:val="-3"/>
                <w:sz w:val="18"/>
              </w:rPr>
              <w:t xml:space="preserve"> </w:t>
            </w:r>
            <w:r w:rsidR="00C44076">
              <w:rPr>
                <w:b/>
                <w:sz w:val="18"/>
              </w:rPr>
              <w:t>)</w:t>
            </w:r>
            <w:r>
              <w:rPr>
                <w:sz w:val="18"/>
              </w:rPr>
              <w:t xml:space="preserve"> </w:t>
            </w:r>
            <w:r w:rsidR="00C44076">
              <w:rPr>
                <w:b/>
                <w:sz w:val="18"/>
              </w:rPr>
              <w:t xml:space="preserve">anni </w:t>
            </w:r>
            <w:r w:rsidR="00C44076">
              <w:rPr>
                <w:b/>
                <w:spacing w:val="1"/>
                <w:sz w:val="18"/>
              </w:rPr>
              <w:t xml:space="preserve"> </w:t>
            </w:r>
            <w:r w:rsidR="00C44076">
              <w:rPr>
                <w:b/>
                <w:sz w:val="18"/>
                <w:u w:val="single"/>
              </w:rPr>
              <w:t xml:space="preserve"> </w:t>
            </w:r>
            <w:r w:rsidR="00C44076">
              <w:rPr>
                <w:b/>
                <w:sz w:val="18"/>
                <w:u w:val="single"/>
              </w:rPr>
              <w:tab/>
            </w:r>
            <w:r>
              <w:rPr>
                <w:b/>
                <w:sz w:val="18"/>
                <w:u w:val="single"/>
              </w:rPr>
              <w:t>_______</w:t>
            </w: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</w:tr>
      <w:tr w:rsidR="00870681">
        <w:trPr>
          <w:trHeight w:val="378"/>
        </w:trPr>
        <w:tc>
          <w:tcPr>
            <w:tcW w:w="8863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966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pos="8642"/>
              </w:tabs>
              <w:spacing w:before="88"/>
              <w:ind w:left="69" w:right="122"/>
              <w:rPr>
                <w:b/>
                <w:sz w:val="18"/>
              </w:rPr>
            </w:pPr>
            <w:r>
              <w:rPr>
                <w:sz w:val="18"/>
              </w:rPr>
              <w:t xml:space="preserve">E)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(valido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trasferimenti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proofErr w:type="gramStart"/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(</w:t>
            </w:r>
            <w:proofErr w:type="gramEnd"/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 w:rsidR="002C12CD">
              <w:rPr>
                <w:b/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1219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8007"/>
              </w:tabs>
              <w:spacing w:line="242" w:lineRule="auto"/>
              <w:ind w:left="69" w:right="67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punteggio aggiuntivo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870681" w:rsidRDefault="00C44076">
            <w:pPr>
              <w:pStyle w:val="TableParagraph"/>
              <w:spacing w:line="178" w:lineRule="exact"/>
              <w:ind w:left="69"/>
              <w:rPr>
                <w:sz w:val="16"/>
              </w:rPr>
            </w:pPr>
            <w:r>
              <w:rPr>
                <w:b/>
                <w:spacing w:val="-2"/>
                <w:sz w:val="16"/>
              </w:rPr>
              <w:t>Nota(e):</w:t>
            </w:r>
            <w:r>
              <w:rPr>
                <w:b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punteggio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riconosciuto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coloro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presentano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domanda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condizionata,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quanto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soprannumerari;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richiesta,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</w:t>
            </w:r>
          </w:p>
          <w:p w:rsidR="00870681" w:rsidRDefault="00C44076">
            <w:pPr>
              <w:pStyle w:val="TableParagraph"/>
              <w:spacing w:line="169" w:lineRule="exact"/>
              <w:ind w:left="69"/>
              <w:rPr>
                <w:sz w:val="16"/>
              </w:rPr>
            </w:pPr>
            <w:r>
              <w:rPr>
                <w:spacing w:val="-1"/>
                <w:sz w:val="16"/>
              </w:rPr>
              <w:t>quinquennio,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rientro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nella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scuola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precedente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fa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maturare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1"/>
                <w:sz w:val="16"/>
              </w:rPr>
              <w:t>regolarmente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9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line="196" w:lineRule="exact"/>
              <w:ind w:left="3583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2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</w:tbl>
    <w:p w:rsidR="00870681" w:rsidRDefault="00870681">
      <w:pPr>
        <w:rPr>
          <w:sz w:val="18"/>
        </w:rPr>
        <w:sectPr w:rsidR="00870681">
          <w:headerReference w:type="default" r:id="rId7"/>
          <w:type w:val="continuous"/>
          <w:pgSz w:w="11910" w:h="16840"/>
          <w:pgMar w:top="680" w:right="400" w:bottom="280" w:left="640" w:header="286" w:footer="720" w:gutter="0"/>
          <w:pgNumType w:start="1"/>
          <w:cols w:space="720"/>
        </w:sectPr>
      </w:pPr>
    </w:p>
    <w:p w:rsidR="00870681" w:rsidRDefault="00C44076">
      <w:pPr>
        <w:pStyle w:val="Paragrafoelenco"/>
        <w:numPr>
          <w:ilvl w:val="0"/>
          <w:numId w:val="5"/>
        </w:numPr>
        <w:tabs>
          <w:tab w:val="left" w:pos="467"/>
        </w:tabs>
        <w:spacing w:before="81" w:after="2"/>
        <w:ind w:left="466" w:hanging="255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lastRenderedPageBreak/>
        <w:t>ESIGENZE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DI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FAMIGLIA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(4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ter)</w:t>
      </w:r>
      <w:r>
        <w:rPr>
          <w:rFonts w:ascii="Times New Roman"/>
          <w:b/>
          <w:spacing w:val="-2"/>
          <w:sz w:val="20"/>
        </w:rPr>
        <w:t xml:space="preserve"> </w:t>
      </w:r>
      <w:r>
        <w:rPr>
          <w:rFonts w:ascii="Times New Roman"/>
          <w:b/>
          <w:sz w:val="20"/>
        </w:rPr>
        <w:t>(5)</w:t>
      </w:r>
      <w:r>
        <w:rPr>
          <w:rFonts w:ascii="Times New Roman"/>
          <w:b/>
          <w:spacing w:val="-3"/>
          <w:sz w:val="20"/>
        </w:rPr>
        <w:t xml:space="preserve"> </w:t>
      </w:r>
      <w:r>
        <w:rPr>
          <w:rFonts w:ascii="Times New Roman"/>
          <w:b/>
          <w:sz w:val="20"/>
        </w:rPr>
        <w:t>(5</w:t>
      </w:r>
      <w:r>
        <w:rPr>
          <w:rFonts w:ascii="Times New Roman"/>
          <w:b/>
          <w:spacing w:val="-1"/>
          <w:sz w:val="20"/>
        </w:rPr>
        <w:t xml:space="preserve"> </w:t>
      </w:r>
      <w:r>
        <w:rPr>
          <w:rFonts w:ascii="Times New Roman"/>
          <w:b/>
          <w:sz w:val="20"/>
        </w:rPr>
        <w:t>bis)</w:t>
      </w:r>
      <w:r w:rsidR="00C82B9F">
        <w:rPr>
          <w:rFonts w:ascii="Times New Roman"/>
          <w:b/>
          <w:sz w:val="20"/>
        </w:rPr>
        <w:t xml:space="preserve"> (5 ter)</w:t>
      </w:r>
      <w:r>
        <w:rPr>
          <w:rFonts w:ascii="Times New Roman"/>
          <w:b/>
          <w:sz w:val="20"/>
        </w:rPr>
        <w:t>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70681">
        <w:trPr>
          <w:trHeight w:val="412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28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0681" w:rsidRDefault="00C44076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70681">
        <w:trPr>
          <w:trHeight w:val="64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961"/>
              </w:tabs>
              <w:ind w:left="69" w:right="142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 per ricongiungimento o riavvicinamento al coniuge ovvero, 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caso di docenti senza coniuge o separato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giudizialmente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consensualmente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 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 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tabs>
                <w:tab w:val="left" w:leader="dot" w:pos="6886"/>
                <w:tab w:val="left" w:pos="8798"/>
              </w:tabs>
              <w:spacing w:before="1" w:line="193" w:lineRule="exact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64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tabs>
                <w:tab w:val="left" w:leader="dot" w:pos="7858"/>
                <w:tab w:val="left" w:pos="8702"/>
              </w:tabs>
              <w:spacing w:before="86"/>
              <w:ind w:left="69" w:right="143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n.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712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9F" w:rsidRDefault="00C82B9F" w:rsidP="00C82B9F">
            <w:pPr>
              <w:widowControl/>
              <w:adjustRightInd w:val="0"/>
              <w:jc w:val="both"/>
              <w:rPr>
                <w:rFonts w:ascii="Tahoma" w:eastAsiaTheme="minorHAnsi" w:hAnsi="Tahoma" w:cs="Tahoma"/>
                <w:sz w:val="18"/>
                <w:szCs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D) per la cura e l'assistenza dei figli con disabilità fisiche, psichiche o sensoriali, ovvero del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coniuge o del genitore totalmente o permanentemente inabili al lavoro, che possono essere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assistiti soltanto nel comune richiesto (7)(1), nonché per l'assistenza dei figli tossicodipendenti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sottoposti ad un programma terapeutico e socio-riabilitativo da attuare presso la residenza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abituale con l'assistenza del medico di fiducia (art. 122 – comma III – D.P.R. 309/90), o presso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le strutture pubbliche e private di cui agli artt. 114 – 118 – 122 D.P.R. 309/90, qualora il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 xml:space="preserve"> 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programma comporti di necessità il domicilio nella sede della struttura medesima (8)</w:t>
            </w:r>
          </w:p>
          <w:p w:rsidR="00870681" w:rsidRDefault="00C82B9F" w:rsidP="00C82B9F">
            <w:pPr>
              <w:pStyle w:val="TableParagraph"/>
              <w:spacing w:line="206" w:lineRule="exact"/>
              <w:ind w:left="69" w:right="61"/>
              <w:rPr>
                <w:b/>
                <w:sz w:val="18"/>
              </w:rPr>
            </w:pPr>
            <w:r>
              <w:rPr>
                <w:rFonts w:ascii="Tahoma" w:eastAsiaTheme="minorHAnsi" w:hAnsi="Tahoma" w:cs="Tahoma"/>
                <w:sz w:val="18"/>
                <w:szCs w:val="18"/>
              </w:rPr>
              <w:t>………………………………………………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………………………………………………………………………………………</w:t>
            </w:r>
            <w:proofErr w:type="gramStart"/>
            <w:r>
              <w:rPr>
                <w:rFonts w:ascii="Tahoma" w:eastAsiaTheme="minorHAnsi" w:hAnsi="Tahoma" w:cs="Tahoma"/>
                <w:sz w:val="18"/>
                <w:szCs w:val="18"/>
              </w:rPr>
              <w:t>.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..</w:t>
            </w:r>
            <w:r>
              <w:rPr>
                <w:rFonts w:ascii="Tahoma" w:eastAsiaTheme="minorHAnsi" w:hAnsi="Tahoma" w:cs="Tahoma"/>
                <w:sz w:val="18"/>
                <w:szCs w:val="18"/>
              </w:rPr>
              <w:t>(</w:t>
            </w:r>
            <w:proofErr w:type="gramEnd"/>
            <w:r w:rsidR="00C44076">
              <w:rPr>
                <w:b/>
                <w:sz w:val="18"/>
              </w:rPr>
              <w:t>punti</w:t>
            </w:r>
            <w:r w:rsidR="00C44076">
              <w:rPr>
                <w:b/>
                <w:spacing w:val="32"/>
                <w:sz w:val="18"/>
              </w:rPr>
              <w:t xml:space="preserve"> </w:t>
            </w:r>
            <w:r w:rsidR="00C44076">
              <w:rPr>
                <w:b/>
                <w:sz w:val="18"/>
              </w:rPr>
              <w:t>24</w:t>
            </w:r>
            <w:r>
              <w:rPr>
                <w:b/>
                <w:sz w:val="18"/>
              </w:rPr>
              <w:t>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8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line="191" w:lineRule="exact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</w:tbl>
    <w:p w:rsidR="00870681" w:rsidRDefault="00870681">
      <w:pPr>
        <w:pStyle w:val="Corpotesto"/>
        <w:spacing w:before="8"/>
        <w:ind w:left="0"/>
        <w:jc w:val="left"/>
        <w:rPr>
          <w:rFonts w:ascii="Times New Roman"/>
          <w:b/>
          <w:sz w:val="23"/>
        </w:rPr>
      </w:pPr>
    </w:p>
    <w:p w:rsidR="00870681" w:rsidRDefault="00C44076">
      <w:pPr>
        <w:spacing w:after="4"/>
        <w:ind w:left="212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III</w:t>
      </w:r>
      <w:r>
        <w:rPr>
          <w:rFonts w:ascii="Times New Roman" w:hAnsi="Times New Roman"/>
          <w:b/>
          <w:spacing w:val="-2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–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TITOLI</w:t>
      </w:r>
      <w:r>
        <w:rPr>
          <w:rFonts w:ascii="Times New Roman" w:hAnsi="Times New Roman"/>
          <w:b/>
          <w:spacing w:val="-1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3"/>
        <w:gridCol w:w="708"/>
        <w:gridCol w:w="1042"/>
      </w:tblGrid>
      <w:tr w:rsidR="00870681">
        <w:trPr>
          <w:trHeight w:val="414"/>
        </w:trPr>
        <w:tc>
          <w:tcPr>
            <w:tcW w:w="8863" w:type="dxa"/>
            <w:tcBorders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ind w:left="172" w:right="106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2" w:type="dxa"/>
            <w:tcBorders>
              <w:left w:val="single" w:sz="4" w:space="0" w:color="000000"/>
              <w:bottom w:val="single" w:sz="4" w:space="0" w:color="000000"/>
            </w:tcBorders>
          </w:tcPr>
          <w:p w:rsidR="00870681" w:rsidRDefault="00C44076">
            <w:pPr>
              <w:pStyle w:val="TableParagraph"/>
              <w:spacing w:line="206" w:lineRule="exact"/>
              <w:ind w:left="138" w:right="99" w:firstLine="16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all’Ufficio</w:t>
            </w:r>
          </w:p>
        </w:tc>
      </w:tr>
      <w:tr w:rsidR="00870681">
        <w:trPr>
          <w:trHeight w:val="321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02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5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C44076"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merito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l'accesso 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 superiore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870681" w:rsidRDefault="00C44076">
            <w:pPr>
              <w:pStyle w:val="TableParagraph"/>
              <w:tabs>
                <w:tab w:val="left" w:leader="dot" w:pos="8026"/>
              </w:tabs>
              <w:spacing w:before="2" w:line="191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5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before="1" w:line="193" w:lineRule="exact"/>
              <w:ind w:right="58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PUNTI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  <w:tr w:rsidR="00870681">
        <w:trPr>
          <w:trHeight w:val="414"/>
        </w:trPr>
        <w:tc>
          <w:tcPr>
            <w:tcW w:w="8863" w:type="dxa"/>
            <w:tcBorders>
              <w:top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spacing w:before="10"/>
              <w:rPr>
                <w:b/>
                <w:sz w:val="17"/>
              </w:rPr>
            </w:pPr>
          </w:p>
          <w:p w:rsidR="00870681" w:rsidRDefault="00C44076">
            <w:pPr>
              <w:pStyle w:val="TableParagraph"/>
              <w:spacing w:line="188" w:lineRule="exact"/>
              <w:ind w:right="58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</w:tcBorders>
          </w:tcPr>
          <w:p w:rsidR="00870681" w:rsidRDefault="00870681">
            <w:pPr>
              <w:pStyle w:val="TableParagraph"/>
              <w:rPr>
                <w:sz w:val="18"/>
              </w:rPr>
            </w:pPr>
          </w:p>
        </w:tc>
      </w:tr>
    </w:tbl>
    <w:p w:rsidR="00870681" w:rsidRDefault="00870681">
      <w:pPr>
        <w:pStyle w:val="Corpotesto"/>
        <w:ind w:left="0"/>
        <w:jc w:val="left"/>
        <w:rPr>
          <w:rFonts w:ascii="Times New Roman"/>
          <w:b/>
          <w:sz w:val="26"/>
        </w:rPr>
      </w:pPr>
    </w:p>
    <w:p w:rsidR="00870681" w:rsidRDefault="00C44076">
      <w:pPr>
        <w:tabs>
          <w:tab w:val="left" w:pos="7148"/>
        </w:tabs>
        <w:spacing w:before="203"/>
        <w:ind w:left="212"/>
        <w:rPr>
          <w:rFonts w:ascii="Times New Roman"/>
          <w:sz w:val="20"/>
        </w:rPr>
      </w:pPr>
      <w:r>
        <w:rPr>
          <w:rFonts w:ascii="Times New Roman"/>
          <w:b/>
        </w:rPr>
        <w:t>Si Allega</w:t>
      </w:r>
      <w:r>
        <w:rPr>
          <w:rFonts w:ascii="Times New Roman"/>
          <w:sz w:val="20"/>
        </w:rPr>
        <w:t>:</w:t>
      </w:r>
      <w:r>
        <w:rPr>
          <w:rFonts w:ascii="Times New Roman"/>
          <w:sz w:val="20"/>
          <w:u w:val="single"/>
        </w:rPr>
        <w:t xml:space="preserve"> </w:t>
      </w:r>
      <w:r>
        <w:rPr>
          <w:rFonts w:ascii="Times New Roman"/>
          <w:sz w:val="20"/>
          <w:u w:val="single"/>
        </w:rPr>
        <w:tab/>
      </w:r>
    </w:p>
    <w:p w:rsidR="00870681" w:rsidRDefault="00FB0742">
      <w:pPr>
        <w:pStyle w:val="Corpotesto"/>
        <w:spacing w:before="7"/>
        <w:ind w:left="0"/>
        <w:jc w:val="left"/>
        <w:rPr>
          <w:rFonts w:ascii="Times New Roman"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222250</wp:posOffset>
                </wp:positionV>
                <wp:extent cx="386842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A620D3" id="Freeform 4" o:spid="_x0000_s1026" style="position:absolute;margin-left:80.2pt;margin-top:17.5pt;width:304.6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440055</wp:posOffset>
                </wp:positionV>
                <wp:extent cx="386842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980109" id="Freeform 3" o:spid="_x0000_s1026" style="position:absolute;margin-left:80.2pt;margin-top:34.65pt;width:30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659130</wp:posOffset>
                </wp:positionV>
                <wp:extent cx="386842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8420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2"/>
                            <a:gd name="T2" fmla="+- 0 7695 1604"/>
                            <a:gd name="T3" fmla="*/ T2 w 60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2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AC600" id="Freeform 2" o:spid="_x0000_s1026" style="position:absolute;margin-left:80.2pt;margin-top:51.9pt;width:30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870681" w:rsidRDefault="00870681">
      <w:pPr>
        <w:pStyle w:val="Corpotesto"/>
        <w:spacing w:before="2"/>
        <w:ind w:left="0"/>
        <w:jc w:val="left"/>
        <w:rPr>
          <w:rFonts w:ascii="Times New Roman"/>
          <w:sz w:val="23"/>
        </w:rPr>
      </w:pPr>
    </w:p>
    <w:p w:rsidR="00870681" w:rsidRDefault="00870681">
      <w:pPr>
        <w:pStyle w:val="Corpotesto"/>
        <w:spacing w:before="5"/>
        <w:ind w:left="0"/>
        <w:jc w:val="left"/>
        <w:rPr>
          <w:rFonts w:ascii="Times New Roman"/>
          <w:sz w:val="23"/>
        </w:rPr>
      </w:pPr>
    </w:p>
    <w:p w:rsidR="00870681" w:rsidRDefault="00870681">
      <w:pPr>
        <w:pStyle w:val="Corpotesto"/>
        <w:ind w:left="0"/>
        <w:jc w:val="left"/>
        <w:rPr>
          <w:rFonts w:ascii="Times New Roman"/>
          <w:sz w:val="20"/>
        </w:rPr>
      </w:pPr>
    </w:p>
    <w:p w:rsidR="00870681" w:rsidRDefault="00870681">
      <w:pPr>
        <w:pStyle w:val="Corpotesto"/>
        <w:spacing w:before="11"/>
        <w:ind w:left="0"/>
        <w:jc w:val="left"/>
        <w:rPr>
          <w:rFonts w:ascii="Times New Roman"/>
          <w:sz w:val="19"/>
        </w:rPr>
      </w:pPr>
    </w:p>
    <w:p w:rsidR="00870681" w:rsidRDefault="00C44076">
      <w:pPr>
        <w:tabs>
          <w:tab w:val="left" w:pos="2481"/>
        </w:tabs>
        <w:spacing w:before="91"/>
        <w:ind w:left="212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 xml:space="preserve">Data: </w:t>
      </w:r>
      <w:r>
        <w:rPr>
          <w:rFonts w:ascii="Times New Roman"/>
          <w:b/>
          <w:w w:val="99"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:rsidR="00870681" w:rsidRDefault="00C44076">
      <w:pPr>
        <w:tabs>
          <w:tab w:val="left" w:pos="10743"/>
        </w:tabs>
        <w:ind w:left="8267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Firma</w:t>
      </w:r>
      <w:r>
        <w:rPr>
          <w:rFonts w:ascii="Times New Roman"/>
          <w:b/>
          <w:sz w:val="20"/>
          <w:u w:val="single"/>
        </w:rPr>
        <w:t xml:space="preserve"> </w:t>
      </w:r>
      <w:r>
        <w:rPr>
          <w:rFonts w:ascii="Times New Roman"/>
          <w:b/>
          <w:sz w:val="20"/>
          <w:u w:val="single"/>
        </w:rPr>
        <w:tab/>
      </w:r>
    </w:p>
    <w:p w:rsidR="00870681" w:rsidRDefault="00870681">
      <w:pPr>
        <w:rPr>
          <w:rFonts w:ascii="Times New Roman"/>
          <w:sz w:val="20"/>
        </w:rPr>
        <w:sectPr w:rsidR="00870681">
          <w:pgSz w:w="11910" w:h="16840"/>
          <w:pgMar w:top="680" w:right="400" w:bottom="280" w:left="640" w:header="286" w:footer="0" w:gutter="0"/>
          <w:cols w:space="720"/>
        </w:sectPr>
      </w:pPr>
    </w:p>
    <w:p w:rsidR="009240FE" w:rsidRDefault="009240FE" w:rsidP="009D53D4">
      <w:pPr>
        <w:widowControl/>
        <w:adjustRightInd w:val="0"/>
        <w:jc w:val="center"/>
        <w:rPr>
          <w:rFonts w:ascii="Tahoma-Bold" w:eastAsiaTheme="minorHAnsi" w:hAnsi="Tahoma-Bold" w:cs="Tahoma-Bold"/>
          <w:b/>
          <w:bCs/>
          <w:sz w:val="18"/>
          <w:szCs w:val="18"/>
        </w:rPr>
      </w:pPr>
    </w:p>
    <w:p w:rsidR="009240FE" w:rsidRDefault="009240FE" w:rsidP="009D53D4">
      <w:pPr>
        <w:widowControl/>
        <w:adjustRightInd w:val="0"/>
        <w:jc w:val="center"/>
        <w:rPr>
          <w:rFonts w:ascii="Tahoma-Bold" w:eastAsiaTheme="minorHAnsi" w:hAnsi="Tahoma-Bold" w:cs="Tahoma-Bold"/>
          <w:b/>
          <w:bCs/>
          <w:sz w:val="18"/>
          <w:szCs w:val="18"/>
        </w:rPr>
      </w:pPr>
    </w:p>
    <w:p w:rsidR="00E163DE" w:rsidRDefault="009D53D4" w:rsidP="009D53D4">
      <w:pPr>
        <w:widowControl/>
        <w:adjustRightInd w:val="0"/>
        <w:jc w:val="center"/>
        <w:rPr>
          <w:rFonts w:ascii="Tahoma-Bold" w:eastAsiaTheme="minorHAnsi" w:hAnsi="Tahoma-Bold" w:cs="Tahoma-Bold"/>
          <w:b/>
          <w:bCs/>
          <w:sz w:val="18"/>
          <w:szCs w:val="18"/>
        </w:rPr>
      </w:pPr>
      <w:bookmarkStart w:id="0" w:name="_GoBack"/>
      <w:bookmarkEnd w:id="0"/>
      <w:r>
        <w:rPr>
          <w:rFonts w:ascii="Tahoma-Bold" w:eastAsiaTheme="minorHAnsi" w:hAnsi="Tahoma-Bold" w:cs="Tahoma-Bold"/>
          <w:b/>
          <w:bCs/>
          <w:sz w:val="18"/>
          <w:szCs w:val="18"/>
        </w:rPr>
        <w:t>N</w:t>
      </w:r>
      <w:r w:rsidR="00E163DE">
        <w:rPr>
          <w:rFonts w:ascii="Tahoma-Bold" w:eastAsiaTheme="minorHAnsi" w:hAnsi="Tahoma-Bold" w:cs="Tahoma-Bold"/>
          <w:b/>
          <w:bCs/>
          <w:sz w:val="18"/>
          <w:szCs w:val="18"/>
        </w:rPr>
        <w:t>OTE</w:t>
      </w:r>
    </w:p>
    <w:p w:rsidR="009D53D4" w:rsidRP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(1) A norma del D.P.R. 28.12.2000, n. 445 e successive modifiche ed integrazioni, l'interessato può comprovare con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dichiarazione personale in carta libera l'esistenza dei figli minorenni (precisando in tal caso la data di nascita), lo stato di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celibe, nubile, coniugato, vedovo o divorziato e il rapporto di parentela con le persone con cui chiede di ricongiungersi o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riavvicinarsi. Analogamente con dichiarazione personale può essere comprovata l'esistenza di un figlio maggiorenne, permanentemente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inabile al lavoro. La residenza del familiare deve essere comprovata con dichiarazione personale redatta ai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sensi delle disposizioni contenute nel D.P.R. 28.12.2000, n. 445 e successive modifiche ed integrazioni. Deve essere documentato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con certificato rilasciato dall'istituto di cura, il ricovero permanente del figlio, del coniuge ovvero del genitore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disabile. Il bisogno per i medesimi di cure continuative, tali da comportare di necessità la residenza nella sede dell'istituto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di cura deve essere, invece, documentato con certificato rilasciato da ente pubblico ospedaliero o da medico provinciale o</w:t>
      </w:r>
    </w:p>
    <w:p w:rsidR="009240FE" w:rsidRP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dall'ufficio sanitario o da una commissione medico-militare; in questo caso, l'interessato dovrà altresì comprovare, con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dichiarazione personale redatta in conformità delle disposizioni contenute nel D.P.R. 28.12.2000, n. 445 e successive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modifiche ed integrazioni, che il figlio, il coniuge o gli altri familiari con disabilità possono essere assistiti soltanto nel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comune richiesto in quanto nella sede di titolarità non esiste un istituto di cura presso il quale i medesimi possono essere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assistiti.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</w:p>
    <w:p w:rsidR="009240FE" w:rsidRP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Ai fini della validità della certificazione richiesta si richiama quanto disposto dalla legge delle disposizioni contenute nel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D.P.R. 28.12.2000, n. 445 e successive modifiche ed integrazioni.</w:t>
      </w:r>
    </w:p>
    <w:p w:rsid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 xml:space="preserve">(2) </w:t>
      </w:r>
      <w:proofErr w:type="gramStart"/>
      <w:r w:rsidRPr="009D53D4">
        <w:rPr>
          <w:rFonts w:ascii="Tahoma-Bold" w:eastAsiaTheme="minorHAnsi" w:hAnsi="Tahoma-Bold" w:cs="Tahoma-Bold"/>
          <w:bCs/>
          <w:sz w:val="18"/>
          <w:szCs w:val="18"/>
        </w:rPr>
        <w:t>E'</w:t>
      </w:r>
      <w:proofErr w:type="gramEnd"/>
      <w:r w:rsidRPr="009D53D4">
        <w:rPr>
          <w:rFonts w:ascii="Tahoma-Bold" w:eastAsiaTheme="minorHAnsi" w:hAnsi="Tahoma-Bold" w:cs="Tahoma-Bold"/>
          <w:bCs/>
          <w:sz w:val="18"/>
          <w:szCs w:val="18"/>
        </w:rPr>
        <w:t xml:space="preserve"> valutato il periodo coperto da decorrenza giuridica della nomina purché sia stato prestato effettivo servizio nello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stesso profilo professionale. Sono comunque valutati con il punteggio previsto dalla presente voce i seguenti servizi:</w:t>
      </w:r>
    </w:p>
    <w:p w:rsidR="009240FE" w:rsidRP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• il servizio di ruolo prestato quale assistente di scuola materna per il personale iscritto nei ruoli della carriera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 xml:space="preserve">esecutiva ai sensi dell'art. 8, della legge n. 463/78; il servizio di ruolo prestato quale </w:t>
      </w:r>
      <w:proofErr w:type="spellStart"/>
      <w:r w:rsidRPr="009D53D4">
        <w:rPr>
          <w:rFonts w:ascii="Tahoma-Bold" w:eastAsiaTheme="minorHAnsi" w:hAnsi="Tahoma-Bold" w:cs="Tahoma-Bold"/>
          <w:bCs/>
          <w:sz w:val="18"/>
          <w:szCs w:val="18"/>
        </w:rPr>
        <w:t>accudiente</w:t>
      </w:r>
      <w:proofErr w:type="spellEnd"/>
      <w:r w:rsidRPr="009D53D4">
        <w:rPr>
          <w:rFonts w:ascii="Tahoma-Bold" w:eastAsiaTheme="minorHAnsi" w:hAnsi="Tahoma-Bold" w:cs="Tahoma-Bold"/>
          <w:bCs/>
          <w:sz w:val="18"/>
          <w:szCs w:val="18"/>
        </w:rPr>
        <w:t xml:space="preserve"> di convitto dal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personale transitato nella terza qualifica ai sensi dell'art. 49, della legge n. 312/80;</w:t>
      </w:r>
    </w:p>
    <w:p w:rsidR="009240FE" w:rsidRP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• il servizio prestato nel profilo di provenienza per il personale transitato nell'attuale profilo, a seguito di passaggio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nell’ambito della stessa qualifica o area ai sensi dell'art. 19, del D.P.R. 399/88 e dell'art. 38, del D.P.R. 209/87 e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dell’art. 1 comma 2 lettera B della sequenza contrattuale del 25 luglio 2008;</w:t>
      </w:r>
    </w:p>
    <w:p w:rsidR="009240FE" w:rsidRP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• il servizio prestato in profilo diverso da quello di appartenenza a seguito di utilizzazione o assegnazione provvisoria;</w:t>
      </w:r>
    </w:p>
    <w:p w:rsidR="009D53D4" w:rsidRP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• il servizio prestato da parte del personale responsabile amministrativo o assistente amministrativo per la sostituzione</w:t>
      </w:r>
    </w:p>
    <w:p w:rsidR="009240FE" w:rsidRP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del titolare di incarico di DSGA;</w:t>
      </w:r>
    </w:p>
    <w:p w:rsidR="009240FE" w:rsidRPr="009D53D4" w:rsidRDefault="009D53D4" w:rsidP="009D53D4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• il servizio prestato nel ruolo di provenienza per il personale trasferito nel profilo di attuale appartenenza per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effetto dell'art. 200 del T.U. approvato con D.P.R. 10/01/1957, n. 3, purché il ruolo di provenienza fosse compreso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fra quelli elencati nella tabella A annessa al D.P.R. 31/05/1974, n. 420 e successive modifiche e integrazioni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ovvero tra quelli corrispondenti dell’amministrazione centrale e periferica;</w:t>
      </w:r>
    </w:p>
    <w:p w:rsidR="009240FE" w:rsidRDefault="009D53D4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9D53D4">
        <w:rPr>
          <w:rFonts w:ascii="Tahoma-Bold" w:eastAsiaTheme="minorHAnsi" w:hAnsi="Tahoma-Bold" w:cs="Tahoma-Bold"/>
          <w:bCs/>
          <w:sz w:val="18"/>
          <w:szCs w:val="18"/>
        </w:rPr>
        <w:t>• il servizio prestato nel ruolo di provenienza per il personale trasferito nel profilo di attuale appartenenza per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effetto di trasposizione automatica nel nuovo sistema di classificazione del personale ai sensi dell’Allegato B del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D53D4">
        <w:rPr>
          <w:rFonts w:ascii="Tahoma-Bold" w:eastAsiaTheme="minorHAnsi" w:hAnsi="Tahoma-Bold" w:cs="Tahoma-Bold"/>
          <w:bCs/>
          <w:sz w:val="18"/>
          <w:szCs w:val="18"/>
        </w:rPr>
        <w:t>CCNL 2024.</w:t>
      </w:r>
      <w:r w:rsidR="0032787B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</w:p>
    <w:p w:rsidR="0032787B" w:rsidRPr="009240FE" w:rsidRDefault="0032787B" w:rsidP="009240FE">
      <w:pPr>
        <w:pStyle w:val="Paragrafoelenco"/>
        <w:widowControl/>
        <w:numPr>
          <w:ilvl w:val="0"/>
          <w:numId w:val="8"/>
        </w:numPr>
        <w:adjustRightInd w:val="0"/>
        <w:ind w:left="142" w:hanging="142"/>
        <w:rPr>
          <w:rFonts w:ascii="Tahoma-Bold" w:eastAsiaTheme="minorHAnsi" w:hAnsi="Tahoma-Bold" w:cs="Tahoma-Bold"/>
          <w:bCs/>
          <w:sz w:val="18"/>
          <w:szCs w:val="18"/>
        </w:rPr>
      </w:pPr>
      <w:r w:rsidRPr="009240FE">
        <w:rPr>
          <w:rFonts w:ascii="Tahoma-Bold" w:eastAsiaTheme="minorHAnsi" w:hAnsi="Tahoma-Bold" w:cs="Tahoma-Bold"/>
          <w:bCs/>
          <w:sz w:val="18"/>
          <w:szCs w:val="18"/>
        </w:rPr>
        <w:t>il servizio prestato dal personale inidoneo durante il periodo di collocamento fuori ruolo ai sensi dell’art. 23 –</w:t>
      </w:r>
      <w:r w:rsidRPr="009240FE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240FE">
        <w:rPr>
          <w:rFonts w:ascii="Tahoma-Bold" w:eastAsiaTheme="minorHAnsi" w:hAnsi="Tahoma-Bold" w:cs="Tahoma-Bold"/>
          <w:bCs/>
          <w:sz w:val="18"/>
          <w:szCs w:val="18"/>
        </w:rPr>
        <w:t>comma 5, del C.C.N.L. sottoscritto il 4 agosto 1995 in mansioni parziali del profilo di appartenenza o in altro</w:t>
      </w:r>
      <w:r w:rsidRPr="009240FE"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9240FE">
        <w:rPr>
          <w:rFonts w:ascii="Tahoma-Bold" w:eastAsiaTheme="minorHAnsi" w:hAnsi="Tahoma-Bold" w:cs="Tahoma-Bold"/>
          <w:bCs/>
          <w:sz w:val="18"/>
          <w:szCs w:val="18"/>
        </w:rPr>
        <w:t>profilo comunque coerenti;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• i servizi di ruolo prestati indifferentemente nei ruoli confluiti nei singoli profili professionali previsti dal D.P.R.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 xml:space="preserve">07/03/1985, n. 588 (per l'ausiliario, i servizi prestati nei ruoli dei bidelli, dei custodi e degli </w:t>
      </w:r>
      <w:proofErr w:type="spellStart"/>
      <w:r w:rsidRPr="0032787B">
        <w:rPr>
          <w:rFonts w:ascii="Tahoma-Bold" w:eastAsiaTheme="minorHAnsi" w:hAnsi="Tahoma-Bold" w:cs="Tahoma-Bold"/>
          <w:bCs/>
          <w:sz w:val="18"/>
          <w:szCs w:val="18"/>
        </w:rPr>
        <w:t>accudienti</w:t>
      </w:r>
      <w:proofErr w:type="spellEnd"/>
      <w:r w:rsidRPr="0032787B">
        <w:rPr>
          <w:rFonts w:ascii="Tahoma-Bold" w:eastAsiaTheme="minorHAnsi" w:hAnsi="Tahoma-Bold" w:cs="Tahoma-Bold"/>
          <w:bCs/>
          <w:sz w:val="18"/>
          <w:szCs w:val="18"/>
        </w:rPr>
        <w:t>; per il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guardarobiere, il servizio prestato nei ruoli dei guardarobieri e degli aiutanti guardarobieri; per il collaboratore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amministrativo, il servizio prestato nei ruoli degli applicati di segreteria e dei magazzinieri);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• per l’attribuzione del punteggio relativo al servizio effettivamente prestato nelle scuole o istituti situati nelle piccole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isole si prescinde dal requisito della residenza in sede;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• al personale ATA di ruolo collocato in congedo straordinario per motivi di studio senza assegni ai sensi dell'art. 2,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della legge 13/08/1984, n. 476 e ss.mm.ii. per la frequenza di dottorato di ricerca o in quanto assegnatario di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borse di studio da parte di amministrazioni statali, enti pubblici, stati stranieri, enti od organismi internazionali, è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valutato con il punteggio previsto dalla presente voce il periodo della durata del corso o della borsa di studio;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• per l'attribuzione dei punteggi previsti per l'anzianità di servizio - punto I, lettere A), B), C), D) agli insegnanti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elementari collocati permanentemente fuori ruolo, ai sensi dell’art. 21, della legge 9.8.1978, n. 463 è valutato il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servizio prestato nella carriera di appartenenza, sia in qualità di insegnante elementare sia con mansioni di responsabile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amministrativo;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• in applicazione dell’art. 3, comma 6, dell’accordo A.R.A.N. / OO.SS. del 20/7/2000 sottoscritto ai sensi dell’art. 8,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della Legge n. 124/99 recepito con decreto ministeriale 5.4.2001, il servizio prestato dai collaboratori scolastici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negli asili nido degli Enti Locali è assimilato a tutti gli effetti a quello prestato nelle scuole dell’infanzia, primarie o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secondarie di I e II grado degli stessi Enti, considerato che l’assegnazione ad una tipologia di scuola era disposta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sulla base di un’unica graduatoria in relazione alle esigenze di servizio dell’ente stesso. Tali servizi sono riconosciuti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nelle lettere A) e B);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• per ogni anno prestato nei Paesi in via di sviluppo il punteggio è raddoppiato.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Non interrompe la maturazione del punteggio del servizio la fruizione del congedo parentale e del congedo biennale per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l’assistenza a familiari con grave disabilità di cui all’art. 42, comma 5 del decreto legislativo n. 151/2001 e successive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modifiche ed integrazioni.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 xml:space="preserve">3) La valutazione del servizio </w:t>
      </w:r>
      <w:proofErr w:type="spellStart"/>
      <w:r w:rsidRPr="0032787B">
        <w:rPr>
          <w:rFonts w:ascii="Tahoma-Bold" w:eastAsiaTheme="minorHAnsi" w:hAnsi="Tahoma-Bold" w:cs="Tahoma-Bold"/>
          <w:bCs/>
          <w:sz w:val="18"/>
          <w:szCs w:val="18"/>
        </w:rPr>
        <w:t>pre</w:t>
      </w:r>
      <w:proofErr w:type="spellEnd"/>
      <w:r w:rsidRPr="0032787B">
        <w:rPr>
          <w:rFonts w:ascii="Tahoma-Bold" w:eastAsiaTheme="minorHAnsi" w:hAnsi="Tahoma-Bold" w:cs="Tahoma-Bold"/>
          <w:bCs/>
          <w:sz w:val="18"/>
          <w:szCs w:val="18"/>
        </w:rPr>
        <w:t xml:space="preserve"> ruolo svolto nella medesima area di appartenenza viene effettuata secondo il punteggio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di cui alla tabella A dell’allegato E -lett. B (punti 2 nella mobilità a domanda; punti 1 nella mobilità d’ufficio).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proofErr w:type="gramStart"/>
      <w:r w:rsidRPr="0032787B">
        <w:rPr>
          <w:rFonts w:ascii="Tahoma-Bold" w:eastAsiaTheme="minorHAnsi" w:hAnsi="Tahoma-Bold" w:cs="Tahoma-Bold"/>
          <w:bCs/>
          <w:sz w:val="18"/>
          <w:szCs w:val="18"/>
        </w:rPr>
        <w:t>E’</w:t>
      </w:r>
      <w:proofErr w:type="gramEnd"/>
      <w:r w:rsidRPr="0032787B">
        <w:rPr>
          <w:rFonts w:ascii="Tahoma-Bold" w:eastAsiaTheme="minorHAnsi" w:hAnsi="Tahoma-Bold" w:cs="Tahoma-Bold"/>
          <w:bCs/>
          <w:sz w:val="18"/>
          <w:szCs w:val="18"/>
        </w:rPr>
        <w:t xml:space="preserve"> valutato con punti 1 sia per la mobilità a domanda che per la mobilità d’ufficio il servizio di ruolo e non di ruolo prestato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in area diversa, il servizio prestato nel ruolo docente nonché il servizio militare riconosciuto o riconoscibile ai fini della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carriera ai sensi dell’art. 569 del decreto legislativo 297/94 e successive modifiche.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 xml:space="preserve">Per la mobilità a domanda il numero di anni e mesi di servizio </w:t>
      </w:r>
      <w:proofErr w:type="spellStart"/>
      <w:r w:rsidRPr="0032787B">
        <w:rPr>
          <w:rFonts w:ascii="Tahoma-Bold" w:eastAsiaTheme="minorHAnsi" w:hAnsi="Tahoma-Bold" w:cs="Tahoma-Bold"/>
          <w:bCs/>
          <w:sz w:val="18"/>
          <w:szCs w:val="18"/>
        </w:rPr>
        <w:t>pre</w:t>
      </w:r>
      <w:proofErr w:type="spellEnd"/>
      <w:r w:rsidRPr="0032787B">
        <w:rPr>
          <w:rFonts w:ascii="Tahoma-Bold" w:eastAsiaTheme="minorHAnsi" w:hAnsi="Tahoma-Bold" w:cs="Tahoma-Bold"/>
          <w:bCs/>
          <w:sz w:val="18"/>
          <w:szCs w:val="18"/>
        </w:rPr>
        <w:t>-ruolo si valuta per intero, mentre per la mobilità d’ufficio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i primi 4 anni sono valutati per intero e il periodo eccedente nella misura di due terzi.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Con il punteggio previsto dalla presente voce vanno valutati i seguenti servizi o periodi: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• il servizio di ruolo prestato in qualità di docente;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• il servizio non di ruolo ed il servizio militare riconosciuto o riconoscibile ai fini della carriera ai sensi dell’art. 569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del decreto legislativo 297/94 e successive modifiche;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• il servizio di ruolo prestato in area diversa.</w:t>
      </w:r>
    </w:p>
    <w:p w:rsidR="0032787B" w:rsidRP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Sono valutabili anche i servizi il cui riconoscimento sia richiesto da personale ancora in periodo di prova.</w:t>
      </w:r>
    </w:p>
    <w:p w:rsid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 w:rsidRPr="0032787B">
        <w:rPr>
          <w:rFonts w:ascii="Tahoma-Bold" w:eastAsiaTheme="minorHAnsi" w:hAnsi="Tahoma-Bold" w:cs="Tahoma-Bold"/>
          <w:bCs/>
          <w:sz w:val="18"/>
          <w:szCs w:val="18"/>
        </w:rPr>
        <w:t>Il periodo di anzianità derivante da decorrenza giuridica della nomina antecedente alla decorrenza economica nel caso in</w:t>
      </w:r>
      <w:r>
        <w:rPr>
          <w:rFonts w:ascii="Tahoma-Bold" w:eastAsiaTheme="minorHAnsi" w:hAnsi="Tahoma-Bold" w:cs="Tahoma-Bold"/>
          <w:bCs/>
          <w:sz w:val="18"/>
          <w:szCs w:val="18"/>
        </w:rPr>
        <w:t xml:space="preserve"> </w:t>
      </w:r>
      <w:r w:rsidRPr="0032787B">
        <w:rPr>
          <w:rFonts w:ascii="Tahoma-Bold" w:eastAsiaTheme="minorHAnsi" w:hAnsi="Tahoma-Bold" w:cs="Tahoma-Bold"/>
          <w:bCs/>
          <w:sz w:val="18"/>
          <w:szCs w:val="18"/>
        </w:rPr>
        <w:t>cui non sia stato prestato effettivo servizio è valutato con punteggio dimezzato.</w:t>
      </w:r>
    </w:p>
    <w:p w:rsidR="0032787B" w:rsidRDefault="0032787B" w:rsidP="0032787B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</w:p>
    <w:p w:rsidR="0032787B" w:rsidRDefault="0032787B" w:rsidP="0032787B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lastRenderedPageBreak/>
        <w:t>Devono essere considerati come anni interi i periodi corrispondenti agli anni scolastici la cui durata risulti inferiore ai 12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mesi per effetto di variazione della data di inizio disposta da norme di legge. Il servizio effettivamente prestato nelle scuole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o istituti situati nelle piccole isole, relativo ad ogni mese o frazione superiore a 15 giorni, deve essere raddoppiato anche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nei casi di mancata prestazione del servizio per gravidanza, puerperio e per servizio militare di leva o per il sostitutivo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servizio civile, in conformità a quanto previsto sul riconoscimento di tale servizio dalle specifiche normative. Il servizio civile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 xml:space="preserve">universale non </w:t>
      </w:r>
      <w:proofErr w:type="spellStart"/>
      <w:r>
        <w:rPr>
          <w:rFonts w:ascii="Tahoma" w:eastAsiaTheme="minorHAnsi" w:hAnsi="Tahoma" w:cs="Tahoma"/>
          <w:sz w:val="18"/>
          <w:szCs w:val="18"/>
        </w:rPr>
        <w:t>da</w:t>
      </w:r>
      <w:proofErr w:type="spellEnd"/>
      <w:r>
        <w:rPr>
          <w:rFonts w:ascii="Tahoma" w:eastAsiaTheme="minorHAnsi" w:hAnsi="Tahoma" w:cs="Tahoma"/>
          <w:sz w:val="18"/>
          <w:szCs w:val="18"/>
        </w:rPr>
        <w:t xml:space="preserve"> luogo a punteggio.</w:t>
      </w:r>
    </w:p>
    <w:p w:rsidR="0032787B" w:rsidRDefault="0032787B" w:rsidP="0032787B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(4) Ai fini del calcolo del punteggio di perdente posto si prescinde dal computo del triennio. Si precisa che per l'attribuzione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del punteggio devono concorrere, per gli anni considerati, la titolarità nel profilo di attuale appartenenza (per gli assistenti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proofErr w:type="gramStart"/>
      <w:r>
        <w:rPr>
          <w:rFonts w:ascii="Tahoma" w:eastAsiaTheme="minorHAnsi" w:hAnsi="Tahoma" w:cs="Tahoma"/>
          <w:sz w:val="18"/>
          <w:szCs w:val="18"/>
        </w:rPr>
        <w:t xml:space="preserve">tecnici 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indipendentemente</w:t>
      </w:r>
      <w:proofErr w:type="gramEnd"/>
      <w:r>
        <w:rPr>
          <w:rFonts w:ascii="Tahoma" w:eastAsiaTheme="minorHAnsi" w:hAnsi="Tahoma" w:cs="Tahoma"/>
          <w:sz w:val="18"/>
          <w:szCs w:val="18"/>
        </w:rPr>
        <w:t xml:space="preserve"> dall’area professionale di titolarità) ed eventualmente nel ruolo o nei ruoli confluiti nel medesimo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 xml:space="preserve">profilo (con esclusione pertanto sia del periodo di servizio </w:t>
      </w:r>
      <w:proofErr w:type="spellStart"/>
      <w:r>
        <w:rPr>
          <w:rFonts w:ascii="Tahoma" w:eastAsiaTheme="minorHAnsi" w:hAnsi="Tahoma" w:cs="Tahoma"/>
          <w:sz w:val="18"/>
          <w:szCs w:val="18"/>
        </w:rPr>
        <w:t>pre</w:t>
      </w:r>
      <w:proofErr w:type="spellEnd"/>
      <w:r>
        <w:rPr>
          <w:rFonts w:ascii="Tahoma" w:eastAsiaTheme="minorHAnsi" w:hAnsi="Tahoma" w:cs="Tahoma"/>
          <w:sz w:val="18"/>
          <w:szCs w:val="18"/>
        </w:rPr>
        <w:t>-ruolo sia del servizio coperto da decorrenza giuridica retroattiva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della nomina) e la prestazione del servizio nella scuola di titolarità. Il punteggio in questione va attribuito anche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in tutti i casi in cui il periodo di mancata prestazione del servizio nella scuola di titolarità è riconosciuto a tutti gli effetti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nelle norme vigenti come servizio di istituto validamente prestato nella medesima scuola. Conseguentemente, a titolo</w:t>
      </w:r>
    </w:p>
    <w:p w:rsidR="0032787B" w:rsidRDefault="0032787B" w:rsidP="0032787B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esemplificativo, il punteggio per la continuità di servizio deve essere attribuito nei casi di congedi, compresi quelli disciplinati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dal decreto legislativo n. 151/01 e successive modifiche ed integrazioni, ed aspettative per motivi di salute, per gravidanza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e puerperio, per servizio militare di leva o per il sostitutivo servizio civile, per mandato politico, nel caso di comandi, di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esoneri dal servizio previsti dalla legge per i componenti del consiglio nazionale della pubblica istruzione, di esoneri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sindacali, di aspettative sindacali ancorché non retribuite, di utilizzazione presso i distretti scolastici, etc. Si precisa inoltre,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che, nel caso di sdoppiamento, o di aggregazione di istituti, la titolarità ed il servizio relativi alla scuola di nuova istituzione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devono ricongiungersi alla titolarità ed al servizio relativi alla scuola sdoppiata o aggregata al fine dell’attribuzione del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punteggio in questione. Non interrompe la maturazione del punteggio della continuità neanche la fruizione del congedo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biennale per l’assistenza a familiari con grave disabilità di cui all’art. 5 del decreto legislativo n. 151/01 e successive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modifiche ed integrazioni. Non interrompe la continuità del servizio, altresì, l’utilizzazione in altra scuola del personale in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soprannumero nella scuola di titolarità, né l’utilizzazione ottenuta con precedenza a seguito di sdoppiamento, soppressione,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autonomia o aggregazione delle unità scolastiche. Parimenti, non interrompe la continuità del servizio, il trasferimento del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personale in quanto soprannumerario, qualora il medesimo ottenga nel decennio immediatamente successivo il trasferimento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nel precedente istituto di titolarità, ed abbia prodotto, in ciascun anno, domanda per rientrare nella scuola di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precedente titolarità. In ogni caso non deve essere considerata interruzione della continuità del servizio nella scuola di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titolarità la mancata prestazione del servizio per un periodo di durata complessiva inferiore a sei mesi in ciascun anno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scolastico.</w:t>
      </w:r>
    </w:p>
    <w:p w:rsidR="0032787B" w:rsidRDefault="0032787B" w:rsidP="0032787B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Non interrompe, altresì, la continuità del servizio, l’utilizzazione per la sostituzione del titolare di incarico di DSGA, da parte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del personale anche in scuola diversa da quella di titolarità.</w:t>
      </w:r>
    </w:p>
    <w:p w:rsidR="0032787B" w:rsidRDefault="0032787B" w:rsidP="0032787B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Nei riguardi del personale ATA soprannumerario trasferito d’ufficio senza aver prodotto domanda o trasferito a domanda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condizionata, che richieda come prima preferenza in ciascun anno del decennio il rientro nella scuola o nel comune di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precedente titolarità, l’aver ottenuto nel corso del decennio il trasferimento per altre preferenze espresse nella domanda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non interrompe la continuità del servizio.</w:t>
      </w:r>
    </w:p>
    <w:p w:rsidR="0032787B" w:rsidRDefault="0032787B" w:rsidP="0032787B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Ai fini della continuità del servizio non si valuta l’anno in corso.</w:t>
      </w:r>
    </w:p>
    <w:p w:rsidR="0032787B" w:rsidRDefault="0032787B" w:rsidP="0032787B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(4Bis) Si precisa che il punteggio in questione va attribuito anche nei casi in cui l'interessato abbia usufruito del riconoscimento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della continuità del servizio qualora il medesimo ottenga il rientro nella sede di precedente titolarità in cui sia ubicata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la scuola dalla quale sia stato trasferito d'ufficio e tale rientro si realizzi prima della scadenza del decennio.</w:t>
      </w:r>
    </w:p>
    <w:p w:rsidR="0032787B" w:rsidRDefault="0032787B" w:rsidP="0032787B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(4Ter) Ai fini della formulazione della graduatoria per l’individuazione del soprannumerario, le esigenze di famiglia, da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considerarsi in questo caso come esigenze di non allontanamento dalla scuola e dal comune di attuale titolarità, sono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valutate nella seguente maniera:</w:t>
      </w:r>
    </w:p>
    <w:p w:rsidR="0032787B" w:rsidRDefault="0032787B" w:rsidP="0032787B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SymbolMT" w:eastAsiaTheme="minorHAnsi" w:hAnsi="SymbolMT" w:cs="SymbolMT"/>
          <w:sz w:val="18"/>
          <w:szCs w:val="18"/>
        </w:rPr>
        <w:t xml:space="preserve">• </w:t>
      </w:r>
      <w:r>
        <w:rPr>
          <w:rFonts w:ascii="Tahoma" w:eastAsiaTheme="minorHAnsi" w:hAnsi="Tahoma" w:cs="Tahoma"/>
          <w:sz w:val="18"/>
          <w:szCs w:val="18"/>
        </w:rPr>
        <w:t>lettera A) (ricongiungimento al coniuge, etc..) vale quando il familiare è residente nel comune di titolarità del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soprannumerario; tale punteggio spetta anche per il comune viciniore a quello di residenza del familiare, a condizione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che in quest’ultimo comune non esistano altre istituzioni scolastiche alle quali possa accedere il personale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interessato. Per gli assistenti tecnici tale ipotesi si realizza nel caso di mancanza di istituzione scolastica nella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quale siano istituiti posti relativi a laboratori compresi nell’area di appartenenza degli interessati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SymbolMT" w:eastAsiaTheme="minorHAnsi" w:hAnsi="SymbolMT" w:cs="SymbolMT"/>
          <w:sz w:val="18"/>
          <w:szCs w:val="18"/>
        </w:rPr>
        <w:t xml:space="preserve">• </w:t>
      </w:r>
      <w:r>
        <w:rPr>
          <w:rFonts w:ascii="Tahoma" w:eastAsiaTheme="minorHAnsi" w:hAnsi="Tahoma" w:cs="Tahoma"/>
          <w:sz w:val="18"/>
          <w:szCs w:val="18"/>
        </w:rPr>
        <w:t>lettera B) e lettera C) valgono sempre;</w:t>
      </w:r>
    </w:p>
    <w:p w:rsidR="0032787B" w:rsidRPr="0032787B" w:rsidRDefault="0032787B" w:rsidP="009240FE">
      <w:pPr>
        <w:pStyle w:val="Paragrafoelenco"/>
        <w:widowControl/>
        <w:numPr>
          <w:ilvl w:val="0"/>
          <w:numId w:val="7"/>
        </w:numPr>
        <w:adjustRightInd w:val="0"/>
        <w:ind w:left="142" w:hanging="142"/>
        <w:rPr>
          <w:rFonts w:ascii="Tahoma" w:eastAsiaTheme="minorHAnsi" w:hAnsi="Tahoma" w:cs="Tahoma"/>
          <w:sz w:val="18"/>
          <w:szCs w:val="18"/>
        </w:rPr>
      </w:pPr>
      <w:r w:rsidRPr="0032787B">
        <w:rPr>
          <w:rFonts w:ascii="Tahoma" w:eastAsiaTheme="minorHAnsi" w:hAnsi="Tahoma" w:cs="Tahoma"/>
          <w:sz w:val="18"/>
          <w:szCs w:val="18"/>
        </w:rPr>
        <w:t>lettera D) (cura e assistenza dei figli con disabilità, etc..) vale quando il comune in cui può essere prestata</w:t>
      </w:r>
      <w:r w:rsidRPr="0032787B">
        <w:rPr>
          <w:rFonts w:ascii="Tahoma" w:eastAsiaTheme="minorHAnsi" w:hAnsi="Tahoma" w:cs="Tahoma"/>
          <w:sz w:val="18"/>
          <w:szCs w:val="18"/>
        </w:rPr>
        <w:t xml:space="preserve"> </w:t>
      </w:r>
      <w:r w:rsidRPr="0032787B">
        <w:rPr>
          <w:rFonts w:ascii="Tahoma" w:eastAsiaTheme="minorHAnsi" w:hAnsi="Tahoma" w:cs="Tahoma"/>
          <w:sz w:val="18"/>
          <w:szCs w:val="18"/>
        </w:rPr>
        <w:t>l’assistenza coincide con il comune di titolarità del soprannumerario oppure è ad esso viciniore, qualora nel comune</w:t>
      </w:r>
      <w:r w:rsidRPr="0032787B">
        <w:rPr>
          <w:rFonts w:ascii="Tahoma" w:eastAsiaTheme="minorHAnsi" w:hAnsi="Tahoma" w:cs="Tahoma"/>
          <w:sz w:val="18"/>
          <w:szCs w:val="18"/>
        </w:rPr>
        <w:t xml:space="preserve"> </w:t>
      </w:r>
      <w:r w:rsidRPr="0032787B">
        <w:rPr>
          <w:rFonts w:ascii="Tahoma" w:eastAsiaTheme="minorHAnsi" w:hAnsi="Tahoma" w:cs="Tahoma"/>
          <w:sz w:val="18"/>
          <w:szCs w:val="18"/>
        </w:rPr>
        <w:t>medesimo non vi siano sedi scolastiche richiedibili.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Qualora il comune di residenza del familiare, ovvero il comune per il quale sussistono le condizioni di cui alla lettera D della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Tabella A – Parte II, non sia sede dell’istituzione scolastica di titolarità, il punteggio va attribuito per il comune sede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dell’istituzione scolastica che abbia un plesso o una sezione staccata nel comune di residenza del familiare, ovvero nel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comune per il quale sussistono le condizioni di cui alla lettera D della Tabella A – Parte II.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Il punteggio così calcolato viene utilizzato anche nelle operazioni di trasferimento d’ufficio del soprannumerario.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(5) Il punteggio spetta per il comune di residenza del familiare a cui si richiede di ricongiungersi a condizione che esso,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alla data di pubblicazione dell’ordinanza, vi risieda effettivamente con iscrizione anagrafica da almeno tre mesi. Qualora il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comune di residenza del familiare, ovvero il comune per il quale sussistono le condizioni di cui alla lettera D della Tabella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A – Parte II, non sia sede dell’istituzione scolastica di titolarità, il punteggio va attribuito per il comune sede dell’istituzione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scolastica che abbia un plesso o una sezione staccata nel comune di residenza del familiare, ovvero nel comune per il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quale sussistono le condizioni di cui alla lettera D della Tabella A – Parte II.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La residenza del familiare alla quale si chiede il ricongiungimento deve essere documentata con dichiarazione personale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redatta ai sensi delle disposizioni contenute nel D.P.R. 28.12.2000, n. 445 e successive modifiche ed integrazioni, nei quali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dovrà essere indicata la decorrenza dell'iscrizione stessa. Si prescinde dall’iscrizione anagrafica quando si tratta di ricongiungimento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al familiare trasferito per servizio nei tre mesi antecedenti alla data di pubblicazione dell'ordinanza. In tal caso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ai fini dell’attribuzione del punteggio la dichiarazione personale redatta ai sensi delle disposizioni contenute nel D.P.R.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28.12.2000, n. 445 e successive modifiche ed integrazioni, dovrà contenere l’anzidetta informazione. Tale punteggio spetta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anche per il comune viciniore a quello di residenza del familiare, nonché per quello in cui si verificano le condizioni di cui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alla lettera D della Tabella A – Parte II, a condizione che in quest’ultimo comune non esistano altre istituzioni scolastiche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alle quali possa accedere il personale interessato. Per gli assistenti tecnici tale ipotesi si realizza nel caso di mancanza di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istituzione scolastica nella quale siano istituiti posti relativi a laboratori compresi nell’area di appartenenza degli interessati.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I punteggi per le esigenze di famiglia di cui alle lettere A), B), C), D) sono cumulabili fra loro.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(5 bis) Per i soli trasferimenti a domanda, le situazioni di cui al presente titolo non si valutano per i trasferimenti nell’ambito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della stessa sede (per sede si intende “comune”).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(5 ter) Ai sensi della legge 76/2016 per coniuge si intende anche la parte dell’unione civile. Al coniuge o parte dell’unione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civile è equiparato, ai fini della attribuzione del punteggio, il convivente di fatto di cui all’art. 1, comma 36 e 37, della legge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76/2016.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lastRenderedPageBreak/>
        <w:t>(6) Il punteggio va attribuito anche per i figli che compiono i 6 anni o i 18 anni tra il 1° gennaio e il 31 dicembre dell'anno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in cui si effettua il trasferimento.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(7) La valutazione è attribuita nei seguenti casi: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a) figlio con disabilità, ovvero coniuge, o genitore, ricoverati permanentemente in istituto di cura;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b) figlio con disabilità, ovvero coniuge, o genitore, bisognosi di cure continuative presso un istituto di cura tali da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comportare la necessità di risiedere nella sede dell'istituto medesimo.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(8) Per l'attribuzione del punteggio gli interessati devono produrre una dichiarazione, in carta libera, rilasciata rispettivamente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dal medico di fiducia o dal responsabile delle strutture, abilitate ai sensi del D.P.R. 309/90, attestante la partecipazione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dei figli tossicodipendenti ad un programma terapeutico e socioriabilitativo comportante di necessità il domicilio nella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sede dei genitori.</w:t>
      </w:r>
    </w:p>
    <w:p w:rsidR="0032787B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(9) Il punteggio è attribuito esclusivamente al personale appartenente all’area dei Funzionari ed elevata qualificazione. Il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punteggio è attribuito anche per l'inclusione nella graduatoria di merito dei concorsi riservati di cui all'art.557 decreto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legislativo 297/94 e all’art. 9 del CCNI 3 dicembre 2009. Il punteggio è attribuito anche al personale transitato dagli Enti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Locali ai sensi dell’art. 8, comma 3, della L. n. 124/99.</w:t>
      </w:r>
    </w:p>
    <w:p w:rsidR="009240FE" w:rsidRDefault="0032787B" w:rsidP="009240FE">
      <w:pPr>
        <w:widowControl/>
        <w:adjustRightInd w:val="0"/>
        <w:jc w:val="both"/>
        <w:rPr>
          <w:rFonts w:ascii="Tahoma" w:eastAsiaTheme="minorHAnsi" w:hAnsi="Tahoma" w:cs="Tahoma"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(10) Il punteggio è attribuito al personale appartenente a profilo professionale diverso da quelli appartenenti all’Area dei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Funzionari ed elevata qualificazione ed è attribuito per l'inclusione nella graduatoria di merito dei concorsi a posti, nella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 w:rsidR="009240FE">
        <w:rPr>
          <w:rFonts w:ascii="Tahoma" w:eastAsiaTheme="minorHAnsi" w:hAnsi="Tahoma" w:cs="Tahoma"/>
          <w:sz w:val="18"/>
          <w:szCs w:val="18"/>
        </w:rPr>
        <w:t>scuola statale, di personale ATA di livello o area superiore, sia ordinari che riservati per esami o per esami e titoli. Il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 w:rsidR="009240FE">
        <w:rPr>
          <w:rFonts w:ascii="Tahoma" w:eastAsiaTheme="minorHAnsi" w:hAnsi="Tahoma" w:cs="Tahoma"/>
          <w:sz w:val="18"/>
          <w:szCs w:val="18"/>
        </w:rPr>
        <w:t>punteggio è attribuito anche al personale incluso nelle graduatorie per la mobilità professionale in profilo professionale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 w:rsidR="009240FE">
        <w:rPr>
          <w:rFonts w:ascii="Tahoma" w:eastAsiaTheme="minorHAnsi" w:hAnsi="Tahoma" w:cs="Tahoma"/>
          <w:sz w:val="18"/>
          <w:szCs w:val="18"/>
        </w:rPr>
        <w:t>superiore rispetto a quello di attuale appartenenza di cui all’art. 9 del CCNI 3 dicembre 2009 nonché al personale transitato</w:t>
      </w:r>
      <w:r w:rsidR="009240FE">
        <w:rPr>
          <w:rFonts w:ascii="Tahoma" w:eastAsiaTheme="minorHAnsi" w:hAnsi="Tahoma" w:cs="Tahoma"/>
          <w:sz w:val="18"/>
          <w:szCs w:val="18"/>
        </w:rPr>
        <w:t xml:space="preserve"> </w:t>
      </w:r>
      <w:r w:rsidR="009240FE">
        <w:rPr>
          <w:rFonts w:ascii="Tahoma" w:eastAsiaTheme="minorHAnsi" w:hAnsi="Tahoma" w:cs="Tahoma"/>
          <w:sz w:val="18"/>
          <w:szCs w:val="18"/>
        </w:rPr>
        <w:t>dagli Enti Locali ai sensi dell’art. 8 comma 3 della L. n. 124/99.</w:t>
      </w:r>
    </w:p>
    <w:p w:rsidR="0032787B" w:rsidRPr="009D53D4" w:rsidRDefault="009240FE" w:rsidP="009240FE">
      <w:pPr>
        <w:widowControl/>
        <w:adjustRightInd w:val="0"/>
        <w:jc w:val="both"/>
        <w:rPr>
          <w:rFonts w:ascii="Tahoma-Bold" w:eastAsiaTheme="minorHAnsi" w:hAnsi="Tahoma-Bold" w:cs="Tahoma-Bold"/>
          <w:bCs/>
          <w:sz w:val="18"/>
          <w:szCs w:val="18"/>
        </w:rPr>
      </w:pPr>
      <w:r>
        <w:rPr>
          <w:rFonts w:ascii="Tahoma" w:eastAsiaTheme="minorHAnsi" w:hAnsi="Tahoma" w:cs="Tahoma"/>
          <w:sz w:val="18"/>
          <w:szCs w:val="18"/>
        </w:rPr>
        <w:t>(11) Il servizio prestato in qualità di incaricato ex art. 5 dell’Accordo ARAN – OOSS 8.3.2002 e ex art. 58, del C.C.N.L.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24.7.2003 e ex art. 59 del C.C.N.L. del 29/11/2007, è da valutare con lo stesso punteggio previsto per il servizio non di</w:t>
      </w:r>
      <w:r>
        <w:rPr>
          <w:rFonts w:ascii="Tahoma" w:eastAsiaTheme="minorHAnsi" w:hAnsi="Tahoma" w:cs="Tahoma"/>
          <w:sz w:val="18"/>
          <w:szCs w:val="18"/>
        </w:rPr>
        <w:t xml:space="preserve"> </w:t>
      </w:r>
      <w:r>
        <w:rPr>
          <w:rFonts w:ascii="Tahoma" w:eastAsiaTheme="minorHAnsi" w:hAnsi="Tahoma" w:cs="Tahoma"/>
          <w:sz w:val="18"/>
          <w:szCs w:val="18"/>
        </w:rPr>
        <w:t>ruolo. Tale servizio, qualora abbia avuto una durata superiore a 180 gg, interrompe la continuità.</w:t>
      </w:r>
    </w:p>
    <w:sectPr w:rsidR="0032787B" w:rsidRPr="009D53D4" w:rsidSect="00870681">
      <w:pgSz w:w="11910" w:h="16840"/>
      <w:pgMar w:top="680" w:right="400" w:bottom="280" w:left="640" w:header="28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B82" w:rsidRDefault="00D92B82" w:rsidP="00870681">
      <w:r>
        <w:separator/>
      </w:r>
    </w:p>
  </w:endnote>
  <w:endnote w:type="continuationSeparator" w:id="0">
    <w:p w:rsidR="00D92B82" w:rsidRDefault="00D92B82" w:rsidP="008706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-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B82" w:rsidRDefault="00D92B82" w:rsidP="00870681">
      <w:r>
        <w:separator/>
      </w:r>
    </w:p>
  </w:footnote>
  <w:footnote w:type="continuationSeparator" w:id="0">
    <w:p w:rsidR="00D92B82" w:rsidRDefault="00D92B82" w:rsidP="008706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0681" w:rsidRDefault="00FB0742">
    <w:pPr>
      <w:pStyle w:val="Corpotesto"/>
      <w:spacing w:line="14" w:lineRule="auto"/>
      <w:ind w:left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6188075</wp:posOffset>
              </wp:positionH>
              <wp:positionV relativeFrom="page">
                <wp:posOffset>168910</wp:posOffset>
              </wp:positionV>
              <wp:extent cx="796925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692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70681" w:rsidRDefault="00C44076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0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7.25pt;margin-top:13.3pt;width:62.7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" filled="f" stroked="f">
              <v:textbox inset="0,0,0,0">
                <w:txbxContent>
                  <w:p w:rsidR="00870681" w:rsidRDefault="00C44076">
                    <w:pPr>
                      <w:spacing w:before="10"/>
                      <w:ind w:left="2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z w:val="20"/>
                      </w:rPr>
                      <w:t>ALLEGATO</w:t>
                    </w:r>
                    <w:r>
                      <w:rPr>
                        <w:rFonts w:ascii="Times New Roman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Times New Roman"/>
                        <w:sz w:val="20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116A5"/>
    <w:multiLevelType w:val="hybridMultilevel"/>
    <w:tmpl w:val="E4EE1EDC"/>
    <w:lvl w:ilvl="0" w:tplc="5754A772">
      <w:numFmt w:val="bullet"/>
      <w:lvlText w:val="-"/>
      <w:lvlJc w:val="left"/>
      <w:pPr>
        <w:ind w:left="212" w:hanging="87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54AA92D8">
      <w:numFmt w:val="bullet"/>
      <w:lvlText w:val="•"/>
      <w:lvlJc w:val="left"/>
      <w:pPr>
        <w:ind w:left="1284" w:hanging="87"/>
      </w:pPr>
      <w:rPr>
        <w:rFonts w:hint="default"/>
        <w:lang w:val="it-IT" w:eastAsia="en-US" w:bidi="ar-SA"/>
      </w:rPr>
    </w:lvl>
    <w:lvl w:ilvl="2" w:tplc="D89A3786">
      <w:numFmt w:val="bullet"/>
      <w:lvlText w:val="•"/>
      <w:lvlJc w:val="left"/>
      <w:pPr>
        <w:ind w:left="2349" w:hanging="87"/>
      </w:pPr>
      <w:rPr>
        <w:rFonts w:hint="default"/>
        <w:lang w:val="it-IT" w:eastAsia="en-US" w:bidi="ar-SA"/>
      </w:rPr>
    </w:lvl>
    <w:lvl w:ilvl="3" w:tplc="5B06759C">
      <w:numFmt w:val="bullet"/>
      <w:lvlText w:val="•"/>
      <w:lvlJc w:val="left"/>
      <w:pPr>
        <w:ind w:left="3413" w:hanging="87"/>
      </w:pPr>
      <w:rPr>
        <w:rFonts w:hint="default"/>
        <w:lang w:val="it-IT" w:eastAsia="en-US" w:bidi="ar-SA"/>
      </w:rPr>
    </w:lvl>
    <w:lvl w:ilvl="4" w:tplc="87BCC1C2">
      <w:numFmt w:val="bullet"/>
      <w:lvlText w:val="•"/>
      <w:lvlJc w:val="left"/>
      <w:pPr>
        <w:ind w:left="4478" w:hanging="87"/>
      </w:pPr>
      <w:rPr>
        <w:rFonts w:hint="default"/>
        <w:lang w:val="it-IT" w:eastAsia="en-US" w:bidi="ar-SA"/>
      </w:rPr>
    </w:lvl>
    <w:lvl w:ilvl="5" w:tplc="EA00950A">
      <w:numFmt w:val="bullet"/>
      <w:lvlText w:val="•"/>
      <w:lvlJc w:val="left"/>
      <w:pPr>
        <w:ind w:left="5543" w:hanging="87"/>
      </w:pPr>
      <w:rPr>
        <w:rFonts w:hint="default"/>
        <w:lang w:val="it-IT" w:eastAsia="en-US" w:bidi="ar-SA"/>
      </w:rPr>
    </w:lvl>
    <w:lvl w:ilvl="6" w:tplc="1BE68F3C">
      <w:numFmt w:val="bullet"/>
      <w:lvlText w:val="•"/>
      <w:lvlJc w:val="left"/>
      <w:pPr>
        <w:ind w:left="6607" w:hanging="87"/>
      </w:pPr>
      <w:rPr>
        <w:rFonts w:hint="default"/>
        <w:lang w:val="it-IT" w:eastAsia="en-US" w:bidi="ar-SA"/>
      </w:rPr>
    </w:lvl>
    <w:lvl w:ilvl="7" w:tplc="96C69DBA">
      <w:numFmt w:val="bullet"/>
      <w:lvlText w:val="•"/>
      <w:lvlJc w:val="left"/>
      <w:pPr>
        <w:ind w:left="7672" w:hanging="87"/>
      </w:pPr>
      <w:rPr>
        <w:rFonts w:hint="default"/>
        <w:lang w:val="it-IT" w:eastAsia="en-US" w:bidi="ar-SA"/>
      </w:rPr>
    </w:lvl>
    <w:lvl w:ilvl="8" w:tplc="7C6A8034">
      <w:numFmt w:val="bullet"/>
      <w:lvlText w:val="•"/>
      <w:lvlJc w:val="left"/>
      <w:pPr>
        <w:ind w:left="8737" w:hanging="87"/>
      </w:pPr>
      <w:rPr>
        <w:rFonts w:hint="default"/>
        <w:lang w:val="it-IT" w:eastAsia="en-US" w:bidi="ar-SA"/>
      </w:rPr>
    </w:lvl>
  </w:abstractNum>
  <w:abstractNum w:abstractNumId="1" w15:restartNumberingAfterBreak="0">
    <w:nsid w:val="270531B5"/>
    <w:multiLevelType w:val="hybridMultilevel"/>
    <w:tmpl w:val="340C4258"/>
    <w:lvl w:ilvl="0" w:tplc="7D209340">
      <w:start w:val="1"/>
      <w:numFmt w:val="upperRoman"/>
      <w:lvlText w:val="%1."/>
      <w:lvlJc w:val="left"/>
      <w:pPr>
        <w:ind w:left="389" w:hanging="17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9BE2C6A2">
      <w:numFmt w:val="bullet"/>
      <w:lvlText w:val="•"/>
      <w:lvlJc w:val="left"/>
      <w:pPr>
        <w:ind w:left="1428" w:hanging="178"/>
      </w:pPr>
      <w:rPr>
        <w:rFonts w:hint="default"/>
        <w:lang w:val="it-IT" w:eastAsia="en-US" w:bidi="ar-SA"/>
      </w:rPr>
    </w:lvl>
    <w:lvl w:ilvl="2" w:tplc="AD04EC64">
      <w:numFmt w:val="bullet"/>
      <w:lvlText w:val="•"/>
      <w:lvlJc w:val="left"/>
      <w:pPr>
        <w:ind w:left="2477" w:hanging="178"/>
      </w:pPr>
      <w:rPr>
        <w:rFonts w:hint="default"/>
        <w:lang w:val="it-IT" w:eastAsia="en-US" w:bidi="ar-SA"/>
      </w:rPr>
    </w:lvl>
    <w:lvl w:ilvl="3" w:tplc="4A227BD4">
      <w:numFmt w:val="bullet"/>
      <w:lvlText w:val="•"/>
      <w:lvlJc w:val="left"/>
      <w:pPr>
        <w:ind w:left="3525" w:hanging="178"/>
      </w:pPr>
      <w:rPr>
        <w:rFonts w:hint="default"/>
        <w:lang w:val="it-IT" w:eastAsia="en-US" w:bidi="ar-SA"/>
      </w:rPr>
    </w:lvl>
    <w:lvl w:ilvl="4" w:tplc="FB5EE548">
      <w:numFmt w:val="bullet"/>
      <w:lvlText w:val="•"/>
      <w:lvlJc w:val="left"/>
      <w:pPr>
        <w:ind w:left="4574" w:hanging="178"/>
      </w:pPr>
      <w:rPr>
        <w:rFonts w:hint="default"/>
        <w:lang w:val="it-IT" w:eastAsia="en-US" w:bidi="ar-SA"/>
      </w:rPr>
    </w:lvl>
    <w:lvl w:ilvl="5" w:tplc="A46C7150">
      <w:numFmt w:val="bullet"/>
      <w:lvlText w:val="•"/>
      <w:lvlJc w:val="left"/>
      <w:pPr>
        <w:ind w:left="5623" w:hanging="178"/>
      </w:pPr>
      <w:rPr>
        <w:rFonts w:hint="default"/>
        <w:lang w:val="it-IT" w:eastAsia="en-US" w:bidi="ar-SA"/>
      </w:rPr>
    </w:lvl>
    <w:lvl w:ilvl="6" w:tplc="A16067C0">
      <w:numFmt w:val="bullet"/>
      <w:lvlText w:val="•"/>
      <w:lvlJc w:val="left"/>
      <w:pPr>
        <w:ind w:left="6671" w:hanging="178"/>
      </w:pPr>
      <w:rPr>
        <w:rFonts w:hint="default"/>
        <w:lang w:val="it-IT" w:eastAsia="en-US" w:bidi="ar-SA"/>
      </w:rPr>
    </w:lvl>
    <w:lvl w:ilvl="7" w:tplc="94004ECE">
      <w:numFmt w:val="bullet"/>
      <w:lvlText w:val="•"/>
      <w:lvlJc w:val="left"/>
      <w:pPr>
        <w:ind w:left="7720" w:hanging="178"/>
      </w:pPr>
      <w:rPr>
        <w:rFonts w:hint="default"/>
        <w:lang w:val="it-IT" w:eastAsia="en-US" w:bidi="ar-SA"/>
      </w:rPr>
    </w:lvl>
    <w:lvl w:ilvl="8" w:tplc="CF14D160">
      <w:numFmt w:val="bullet"/>
      <w:lvlText w:val="•"/>
      <w:lvlJc w:val="left"/>
      <w:pPr>
        <w:ind w:left="8769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2C5A2A4E"/>
    <w:multiLevelType w:val="hybridMultilevel"/>
    <w:tmpl w:val="6CF433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47ECA"/>
    <w:multiLevelType w:val="hybridMultilevel"/>
    <w:tmpl w:val="28D6F93C"/>
    <w:lvl w:ilvl="0" w:tplc="F3A6BC00">
      <w:start w:val="1"/>
      <w:numFmt w:val="lowerLetter"/>
      <w:lvlText w:val="%1)"/>
      <w:lvlJc w:val="left"/>
      <w:pPr>
        <w:ind w:left="373" w:hanging="162"/>
      </w:pPr>
      <w:rPr>
        <w:rFonts w:ascii="Calibri" w:eastAsia="Calibri" w:hAnsi="Calibri" w:cs="Calibri" w:hint="default"/>
        <w:w w:val="100"/>
        <w:sz w:val="16"/>
        <w:szCs w:val="16"/>
        <w:lang w:val="it-IT" w:eastAsia="en-US" w:bidi="ar-SA"/>
      </w:rPr>
    </w:lvl>
    <w:lvl w:ilvl="1" w:tplc="C8108BDE">
      <w:numFmt w:val="bullet"/>
      <w:lvlText w:val="•"/>
      <w:lvlJc w:val="left"/>
      <w:pPr>
        <w:ind w:left="1428" w:hanging="162"/>
      </w:pPr>
      <w:rPr>
        <w:rFonts w:hint="default"/>
        <w:lang w:val="it-IT" w:eastAsia="en-US" w:bidi="ar-SA"/>
      </w:rPr>
    </w:lvl>
    <w:lvl w:ilvl="2" w:tplc="69740E6A">
      <w:numFmt w:val="bullet"/>
      <w:lvlText w:val="•"/>
      <w:lvlJc w:val="left"/>
      <w:pPr>
        <w:ind w:left="2477" w:hanging="162"/>
      </w:pPr>
      <w:rPr>
        <w:rFonts w:hint="default"/>
        <w:lang w:val="it-IT" w:eastAsia="en-US" w:bidi="ar-SA"/>
      </w:rPr>
    </w:lvl>
    <w:lvl w:ilvl="3" w:tplc="7BC48A2C">
      <w:numFmt w:val="bullet"/>
      <w:lvlText w:val="•"/>
      <w:lvlJc w:val="left"/>
      <w:pPr>
        <w:ind w:left="3525" w:hanging="162"/>
      </w:pPr>
      <w:rPr>
        <w:rFonts w:hint="default"/>
        <w:lang w:val="it-IT" w:eastAsia="en-US" w:bidi="ar-SA"/>
      </w:rPr>
    </w:lvl>
    <w:lvl w:ilvl="4" w:tplc="58866DEC">
      <w:numFmt w:val="bullet"/>
      <w:lvlText w:val="•"/>
      <w:lvlJc w:val="left"/>
      <w:pPr>
        <w:ind w:left="4574" w:hanging="162"/>
      </w:pPr>
      <w:rPr>
        <w:rFonts w:hint="default"/>
        <w:lang w:val="it-IT" w:eastAsia="en-US" w:bidi="ar-SA"/>
      </w:rPr>
    </w:lvl>
    <w:lvl w:ilvl="5" w:tplc="5608C300">
      <w:numFmt w:val="bullet"/>
      <w:lvlText w:val="•"/>
      <w:lvlJc w:val="left"/>
      <w:pPr>
        <w:ind w:left="5623" w:hanging="162"/>
      </w:pPr>
      <w:rPr>
        <w:rFonts w:hint="default"/>
        <w:lang w:val="it-IT" w:eastAsia="en-US" w:bidi="ar-SA"/>
      </w:rPr>
    </w:lvl>
    <w:lvl w:ilvl="6" w:tplc="84C28D80">
      <w:numFmt w:val="bullet"/>
      <w:lvlText w:val="•"/>
      <w:lvlJc w:val="left"/>
      <w:pPr>
        <w:ind w:left="6671" w:hanging="162"/>
      </w:pPr>
      <w:rPr>
        <w:rFonts w:hint="default"/>
        <w:lang w:val="it-IT" w:eastAsia="en-US" w:bidi="ar-SA"/>
      </w:rPr>
    </w:lvl>
    <w:lvl w:ilvl="7" w:tplc="E65606A2">
      <w:numFmt w:val="bullet"/>
      <w:lvlText w:val="•"/>
      <w:lvlJc w:val="left"/>
      <w:pPr>
        <w:ind w:left="7720" w:hanging="162"/>
      </w:pPr>
      <w:rPr>
        <w:rFonts w:hint="default"/>
        <w:lang w:val="it-IT" w:eastAsia="en-US" w:bidi="ar-SA"/>
      </w:rPr>
    </w:lvl>
    <w:lvl w:ilvl="8" w:tplc="E0DE3F42">
      <w:numFmt w:val="bullet"/>
      <w:lvlText w:val="•"/>
      <w:lvlJc w:val="left"/>
      <w:pPr>
        <w:ind w:left="8769" w:hanging="162"/>
      </w:pPr>
      <w:rPr>
        <w:rFonts w:hint="default"/>
        <w:lang w:val="it-IT" w:eastAsia="en-US" w:bidi="ar-SA"/>
      </w:rPr>
    </w:lvl>
  </w:abstractNum>
  <w:abstractNum w:abstractNumId="4" w15:restartNumberingAfterBreak="0">
    <w:nsid w:val="52401B52"/>
    <w:multiLevelType w:val="hybridMultilevel"/>
    <w:tmpl w:val="B8FE8A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83AF4"/>
    <w:multiLevelType w:val="hybridMultilevel"/>
    <w:tmpl w:val="A2E6F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662E24"/>
    <w:multiLevelType w:val="hybridMultilevel"/>
    <w:tmpl w:val="C434747C"/>
    <w:lvl w:ilvl="0" w:tplc="2B023CDC">
      <w:numFmt w:val="bullet"/>
      <w:lvlText w:val="-"/>
      <w:lvlJc w:val="left"/>
      <w:pPr>
        <w:ind w:left="429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1152B802">
      <w:numFmt w:val="bullet"/>
      <w:lvlText w:val="•"/>
      <w:lvlJc w:val="left"/>
      <w:pPr>
        <w:ind w:left="1262" w:hanging="360"/>
      </w:pPr>
      <w:rPr>
        <w:rFonts w:hint="default"/>
        <w:lang w:val="it-IT" w:eastAsia="en-US" w:bidi="ar-SA"/>
      </w:rPr>
    </w:lvl>
    <w:lvl w:ilvl="2" w:tplc="ACE2FD90">
      <w:numFmt w:val="bullet"/>
      <w:lvlText w:val="•"/>
      <w:lvlJc w:val="left"/>
      <w:pPr>
        <w:ind w:left="2105" w:hanging="360"/>
      </w:pPr>
      <w:rPr>
        <w:rFonts w:hint="default"/>
        <w:lang w:val="it-IT" w:eastAsia="en-US" w:bidi="ar-SA"/>
      </w:rPr>
    </w:lvl>
    <w:lvl w:ilvl="3" w:tplc="1EBC58FC">
      <w:numFmt w:val="bullet"/>
      <w:lvlText w:val="•"/>
      <w:lvlJc w:val="left"/>
      <w:pPr>
        <w:ind w:left="2948" w:hanging="360"/>
      </w:pPr>
      <w:rPr>
        <w:rFonts w:hint="default"/>
        <w:lang w:val="it-IT" w:eastAsia="en-US" w:bidi="ar-SA"/>
      </w:rPr>
    </w:lvl>
    <w:lvl w:ilvl="4" w:tplc="0DDACF40">
      <w:numFmt w:val="bullet"/>
      <w:lvlText w:val="•"/>
      <w:lvlJc w:val="left"/>
      <w:pPr>
        <w:ind w:left="3791" w:hanging="360"/>
      </w:pPr>
      <w:rPr>
        <w:rFonts w:hint="default"/>
        <w:lang w:val="it-IT" w:eastAsia="en-US" w:bidi="ar-SA"/>
      </w:rPr>
    </w:lvl>
    <w:lvl w:ilvl="5" w:tplc="5CAEDADE">
      <w:numFmt w:val="bullet"/>
      <w:lvlText w:val="•"/>
      <w:lvlJc w:val="left"/>
      <w:pPr>
        <w:ind w:left="4634" w:hanging="360"/>
      </w:pPr>
      <w:rPr>
        <w:rFonts w:hint="default"/>
        <w:lang w:val="it-IT" w:eastAsia="en-US" w:bidi="ar-SA"/>
      </w:rPr>
    </w:lvl>
    <w:lvl w:ilvl="6" w:tplc="12CEE864">
      <w:numFmt w:val="bullet"/>
      <w:lvlText w:val="•"/>
      <w:lvlJc w:val="left"/>
      <w:pPr>
        <w:ind w:left="5476" w:hanging="360"/>
      </w:pPr>
      <w:rPr>
        <w:rFonts w:hint="default"/>
        <w:lang w:val="it-IT" w:eastAsia="en-US" w:bidi="ar-SA"/>
      </w:rPr>
    </w:lvl>
    <w:lvl w:ilvl="7" w:tplc="E6888ED6">
      <w:numFmt w:val="bullet"/>
      <w:lvlText w:val="•"/>
      <w:lvlJc w:val="left"/>
      <w:pPr>
        <w:ind w:left="6319" w:hanging="360"/>
      </w:pPr>
      <w:rPr>
        <w:rFonts w:hint="default"/>
        <w:lang w:val="it-IT" w:eastAsia="en-US" w:bidi="ar-SA"/>
      </w:rPr>
    </w:lvl>
    <w:lvl w:ilvl="8" w:tplc="3F68FF64">
      <w:numFmt w:val="bullet"/>
      <w:lvlText w:val="•"/>
      <w:lvlJc w:val="left"/>
      <w:pPr>
        <w:ind w:left="7162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73AF5002"/>
    <w:multiLevelType w:val="hybridMultilevel"/>
    <w:tmpl w:val="677EB800"/>
    <w:lvl w:ilvl="0" w:tplc="7C6463EA">
      <w:start w:val="2"/>
      <w:numFmt w:val="lowerLetter"/>
      <w:lvlText w:val="(%1)"/>
      <w:lvlJc w:val="left"/>
      <w:pPr>
        <w:ind w:left="212" w:hanging="233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1" w:tplc="95D810C2">
      <w:start w:val="1"/>
      <w:numFmt w:val="decimal"/>
      <w:lvlText w:val="(%2)"/>
      <w:lvlJc w:val="left"/>
      <w:pPr>
        <w:ind w:left="212" w:hanging="238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it-IT" w:eastAsia="en-US" w:bidi="ar-SA"/>
      </w:rPr>
    </w:lvl>
    <w:lvl w:ilvl="2" w:tplc="493A8530">
      <w:numFmt w:val="bullet"/>
      <w:lvlText w:val="•"/>
      <w:lvlJc w:val="left"/>
      <w:pPr>
        <w:ind w:left="2349" w:hanging="238"/>
      </w:pPr>
      <w:rPr>
        <w:rFonts w:hint="default"/>
        <w:lang w:val="it-IT" w:eastAsia="en-US" w:bidi="ar-SA"/>
      </w:rPr>
    </w:lvl>
    <w:lvl w:ilvl="3" w:tplc="07581D6A">
      <w:numFmt w:val="bullet"/>
      <w:lvlText w:val="•"/>
      <w:lvlJc w:val="left"/>
      <w:pPr>
        <w:ind w:left="3413" w:hanging="238"/>
      </w:pPr>
      <w:rPr>
        <w:rFonts w:hint="default"/>
        <w:lang w:val="it-IT" w:eastAsia="en-US" w:bidi="ar-SA"/>
      </w:rPr>
    </w:lvl>
    <w:lvl w:ilvl="4" w:tplc="EE5CD652">
      <w:numFmt w:val="bullet"/>
      <w:lvlText w:val="•"/>
      <w:lvlJc w:val="left"/>
      <w:pPr>
        <w:ind w:left="4478" w:hanging="238"/>
      </w:pPr>
      <w:rPr>
        <w:rFonts w:hint="default"/>
        <w:lang w:val="it-IT" w:eastAsia="en-US" w:bidi="ar-SA"/>
      </w:rPr>
    </w:lvl>
    <w:lvl w:ilvl="5" w:tplc="B186D580">
      <w:numFmt w:val="bullet"/>
      <w:lvlText w:val="•"/>
      <w:lvlJc w:val="left"/>
      <w:pPr>
        <w:ind w:left="5543" w:hanging="238"/>
      </w:pPr>
      <w:rPr>
        <w:rFonts w:hint="default"/>
        <w:lang w:val="it-IT" w:eastAsia="en-US" w:bidi="ar-SA"/>
      </w:rPr>
    </w:lvl>
    <w:lvl w:ilvl="6" w:tplc="4D3C6280">
      <w:numFmt w:val="bullet"/>
      <w:lvlText w:val="•"/>
      <w:lvlJc w:val="left"/>
      <w:pPr>
        <w:ind w:left="6607" w:hanging="238"/>
      </w:pPr>
      <w:rPr>
        <w:rFonts w:hint="default"/>
        <w:lang w:val="it-IT" w:eastAsia="en-US" w:bidi="ar-SA"/>
      </w:rPr>
    </w:lvl>
    <w:lvl w:ilvl="7" w:tplc="270EBF24">
      <w:numFmt w:val="bullet"/>
      <w:lvlText w:val="•"/>
      <w:lvlJc w:val="left"/>
      <w:pPr>
        <w:ind w:left="7672" w:hanging="238"/>
      </w:pPr>
      <w:rPr>
        <w:rFonts w:hint="default"/>
        <w:lang w:val="it-IT" w:eastAsia="en-US" w:bidi="ar-SA"/>
      </w:rPr>
    </w:lvl>
    <w:lvl w:ilvl="8" w:tplc="831E97C4">
      <w:numFmt w:val="bullet"/>
      <w:lvlText w:val="•"/>
      <w:lvlJc w:val="left"/>
      <w:pPr>
        <w:ind w:left="8737" w:hanging="238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681"/>
    <w:rsid w:val="002C12CD"/>
    <w:rsid w:val="0032787B"/>
    <w:rsid w:val="00870681"/>
    <w:rsid w:val="009240FE"/>
    <w:rsid w:val="009D53D4"/>
    <w:rsid w:val="00AA75A7"/>
    <w:rsid w:val="00AD27B6"/>
    <w:rsid w:val="00BA4CC1"/>
    <w:rsid w:val="00C44076"/>
    <w:rsid w:val="00C82B9F"/>
    <w:rsid w:val="00CE3213"/>
    <w:rsid w:val="00D92B82"/>
    <w:rsid w:val="00E163DE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8D4FDD"/>
  <w15:docId w15:val="{B076AEFA-C9DA-40FB-869F-2ADF58F2D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87068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06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0681"/>
    <w:pPr>
      <w:ind w:left="212"/>
      <w:jc w:val="both"/>
    </w:pPr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870681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87068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3763</Words>
  <Characters>21455</Characters>
  <Application>Microsoft Office Word</Application>
  <DocSecurity>0</DocSecurity>
  <Lines>178</Lines>
  <Paragraphs>50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 Circolo Didattico di</vt:lpstr>
    </vt:vector>
  </TitlesOfParts>
  <Company/>
  <LinksUpToDate>false</LinksUpToDate>
  <CharactersWithSpaces>25168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 Circolo Didattico di</dc:title>
  <dc:creator>UTENTE</dc:creator>
  <cp:lastModifiedBy>user</cp:lastModifiedBy>
  <cp:revision>6</cp:revision>
  <dcterms:created xsi:type="dcterms:W3CDTF">2025-02-19T09:17:00Z</dcterms:created>
  <dcterms:modified xsi:type="dcterms:W3CDTF">2025-03-10T08:59:00Z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2023-03-07T00:00:00Z</vt:filetime>
  </property>
</Properties>
</file>